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3-nfasis61"/>
        <w:tblpPr w:leftFromText="141" w:rightFromText="141" w:vertAnchor="text" w:horzAnchor="margin" w:tblpX="-352" w:tblpY="-512"/>
        <w:tblW w:w="1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1134"/>
        <w:gridCol w:w="1911"/>
        <w:gridCol w:w="1701"/>
        <w:gridCol w:w="1261"/>
        <w:gridCol w:w="1117"/>
        <w:gridCol w:w="1117"/>
        <w:gridCol w:w="1117"/>
        <w:gridCol w:w="978"/>
        <w:gridCol w:w="1923"/>
        <w:gridCol w:w="850"/>
        <w:gridCol w:w="924"/>
        <w:gridCol w:w="1061"/>
      </w:tblGrid>
      <w:tr w:rsidR="00A109E4" w:rsidRPr="00C45F03" w:rsidTr="00A1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97" w:type="dxa"/>
            <w:gridSpan w:val="15"/>
            <w:shd w:val="clear" w:color="auto" w:fill="538135" w:themeFill="accent6" w:themeFillShade="BF"/>
          </w:tcPr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5"/>
              </w:rPr>
            </w:pPr>
          </w:p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4"/>
              </w:rPr>
            </w:pPr>
            <w:r w:rsidRPr="00C45F03">
              <w:rPr>
                <w:rFonts w:ascii="Arial" w:hAnsi="Arial" w:cs="Arial"/>
                <w:bCs w:val="0"/>
                <w:sz w:val="12"/>
                <w:szCs w:val="14"/>
              </w:rPr>
              <w:t xml:space="preserve">RAMO GENERAL 23 PROVISIONES SALARIALES Y ECONÓMICAS. </w:t>
            </w:r>
          </w:p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4"/>
              </w:rPr>
            </w:pPr>
          </w:p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4"/>
              </w:rPr>
            </w:pPr>
            <w:r w:rsidRPr="00C45F03">
              <w:rPr>
                <w:rFonts w:ascii="Arial" w:hAnsi="Arial" w:cs="Arial"/>
                <w:bCs w:val="0"/>
                <w:sz w:val="12"/>
                <w:szCs w:val="14"/>
              </w:rPr>
              <w:t>FONDO PARA LA ACCESIBILIDAD EN EL TRANSPORTE PÚBLICO PARA LAS PERSONAS CON DISCAPACIDAD 2019</w:t>
            </w:r>
          </w:p>
          <w:p w:rsidR="00A109E4" w:rsidRPr="00C45F03" w:rsidRDefault="00A109E4" w:rsidP="00A109E4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12"/>
                <w:szCs w:val="14"/>
              </w:rPr>
            </w:pPr>
          </w:p>
          <w:p w:rsidR="00A109E4" w:rsidRPr="00C45F03" w:rsidRDefault="00A109E4" w:rsidP="00A109E4">
            <w:pPr>
              <w:rPr>
                <w:rFonts w:ascii="Arial" w:hAnsi="Arial" w:cs="Arial"/>
                <w:bCs w:val="0"/>
                <w:sz w:val="12"/>
                <w:szCs w:val="14"/>
              </w:rPr>
            </w:pPr>
            <w:r w:rsidRPr="00C45F03">
              <w:rPr>
                <w:rFonts w:ascii="Arial" w:hAnsi="Arial" w:cs="Arial"/>
                <w:bCs w:val="0"/>
                <w:sz w:val="12"/>
                <w:szCs w:val="14"/>
              </w:rPr>
              <w:t>ENTIDAD FEDERATIVA, CIUDAD DE MÉXICO.</w:t>
            </w:r>
          </w:p>
          <w:p w:rsidR="00A109E4" w:rsidRPr="00C45F03" w:rsidRDefault="00A109E4" w:rsidP="00A109E4">
            <w:pPr>
              <w:jc w:val="center"/>
              <w:rPr>
                <w:rFonts w:ascii="Arial" w:hAnsi="Arial" w:cs="Arial"/>
                <w:bCs w:val="0"/>
                <w:sz w:val="12"/>
                <w:szCs w:val="15"/>
              </w:rPr>
            </w:pPr>
          </w:p>
          <w:p w:rsidR="00A109E4" w:rsidRPr="00C45F03" w:rsidRDefault="00A109E4" w:rsidP="00A109E4">
            <w:pPr>
              <w:jc w:val="center"/>
              <w:rPr>
                <w:rFonts w:ascii="Arial" w:hAnsi="Arial" w:cs="Arial"/>
                <w:bCs w:val="0"/>
                <w:sz w:val="12"/>
                <w:szCs w:val="15"/>
              </w:rPr>
            </w:pPr>
            <w:r w:rsidRPr="00C45F03">
              <w:rPr>
                <w:rFonts w:ascii="Arial" w:hAnsi="Arial" w:cs="Arial"/>
                <w:bCs w:val="0"/>
                <w:sz w:val="12"/>
                <w:szCs w:val="15"/>
              </w:rPr>
              <w:t xml:space="preserve">PROYECTO METROBÚS ACCESIBLE PARA PERSONAS CON DISCAPACIDAD. PROYECTO INTEGRAL DE CONSTRUCCIÓN Y ADAPTACIÓN DE INFRAESTRUCTURA PARA EL </w:t>
            </w:r>
            <w:proofErr w:type="spellStart"/>
            <w:r w:rsidRPr="00C45F03">
              <w:rPr>
                <w:rFonts w:ascii="Arial" w:hAnsi="Arial" w:cs="Arial"/>
                <w:bCs w:val="0"/>
                <w:sz w:val="12"/>
                <w:szCs w:val="15"/>
              </w:rPr>
              <w:t>TRANSPORTE</w:t>
            </w:r>
            <w:r w:rsidR="0068588E">
              <w:rPr>
                <w:rFonts w:ascii="Arial" w:hAnsi="Arial" w:cs="Arial"/>
                <w:bCs w:val="0"/>
                <w:sz w:val="12"/>
                <w:szCs w:val="15"/>
              </w:rPr>
              <w:t>°</w:t>
            </w:r>
            <w:proofErr w:type="spellEnd"/>
          </w:p>
          <w:p w:rsidR="00A109E4" w:rsidRPr="00C45F03" w:rsidRDefault="00A109E4" w:rsidP="00A109E4">
            <w:pPr>
              <w:rPr>
                <w:rFonts w:ascii="Arial" w:hAnsi="Arial" w:cs="Arial"/>
                <w:bCs w:val="0"/>
                <w:sz w:val="12"/>
                <w:szCs w:val="15"/>
              </w:rPr>
            </w:pPr>
          </w:p>
        </w:tc>
      </w:tr>
      <w:tr w:rsidR="00A109E4" w:rsidRPr="00C45F03" w:rsidTr="0079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Cs w:val="0"/>
                <w:color w:val="FFFFFF" w:themeColor="background1"/>
                <w:sz w:val="12"/>
                <w:szCs w:val="14"/>
              </w:rPr>
              <w:t>Link</w:t>
            </w:r>
          </w:p>
        </w:tc>
        <w:tc>
          <w:tcPr>
            <w:tcW w:w="2693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Descripción del proyecto</w:t>
            </w:r>
          </w:p>
        </w:tc>
        <w:tc>
          <w:tcPr>
            <w:tcW w:w="1985" w:type="dxa"/>
            <w:gridSpan w:val="2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Ubicación Geográfica</w:t>
            </w:r>
          </w:p>
        </w:tc>
        <w:tc>
          <w:tcPr>
            <w:tcW w:w="1911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Contrato</w:t>
            </w:r>
          </w:p>
        </w:tc>
        <w:tc>
          <w:tcPr>
            <w:tcW w:w="1701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Proveedores</w:t>
            </w:r>
          </w:p>
        </w:tc>
        <w:tc>
          <w:tcPr>
            <w:tcW w:w="4612" w:type="dxa"/>
            <w:gridSpan w:val="4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Monto</w:t>
            </w:r>
          </w:p>
        </w:tc>
        <w:tc>
          <w:tcPr>
            <w:tcW w:w="2901" w:type="dxa"/>
            <w:gridSpan w:val="2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Metas</w:t>
            </w:r>
          </w:p>
        </w:tc>
        <w:tc>
          <w:tcPr>
            <w:tcW w:w="850" w:type="dxa"/>
            <w:vMerge w:val="restart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Avance</w:t>
            </w:r>
          </w:p>
          <w:p w:rsidR="00E02A25" w:rsidRPr="00C45F03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Físico</w:t>
            </w:r>
            <w:r w:rsidR="0079534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*</w:t>
            </w:r>
          </w:p>
        </w:tc>
        <w:tc>
          <w:tcPr>
            <w:tcW w:w="924" w:type="dxa"/>
            <w:vMerge w:val="restart"/>
            <w:shd w:val="clear" w:color="auto" w:fill="538135" w:themeFill="accent6" w:themeFillShade="BF"/>
          </w:tcPr>
          <w:p w:rsidR="00E02A25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</w:pPr>
          </w:p>
          <w:p w:rsidR="00E02A25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Avance</w:t>
            </w:r>
          </w:p>
          <w:p w:rsidR="00E02A25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Financiero</w:t>
            </w:r>
            <w:r w:rsidR="0079534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4"/>
              </w:rPr>
              <w:t>*</w:t>
            </w:r>
          </w:p>
        </w:tc>
        <w:tc>
          <w:tcPr>
            <w:tcW w:w="1061" w:type="dxa"/>
            <w:vMerge w:val="restart"/>
            <w:shd w:val="clear" w:color="auto" w:fill="538135" w:themeFill="accent6" w:themeFillShade="BF"/>
            <w:vAlign w:val="center"/>
          </w:tcPr>
          <w:p w:rsidR="00E02A25" w:rsidRPr="00A109E4" w:rsidRDefault="00E02A25" w:rsidP="00A109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</w:pPr>
            <w:r w:rsidRPr="008B3804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  <w:t>Monto comprometido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  <w:t xml:space="preserve">  </w:t>
            </w:r>
          </w:p>
        </w:tc>
      </w:tr>
      <w:tr w:rsidR="00A109E4" w:rsidRPr="00C45F03" w:rsidTr="0079534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5"/>
              </w:rPr>
            </w:pPr>
          </w:p>
        </w:tc>
        <w:tc>
          <w:tcPr>
            <w:tcW w:w="851" w:type="dxa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Entidad Federativa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Alcaldía</w:t>
            </w: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261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Recursos Programados</w:t>
            </w:r>
          </w:p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(Pesos)</w:t>
            </w:r>
          </w:p>
        </w:tc>
        <w:tc>
          <w:tcPr>
            <w:tcW w:w="1117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Retención 1 al millar ASF</w:t>
            </w:r>
          </w:p>
        </w:tc>
        <w:tc>
          <w:tcPr>
            <w:tcW w:w="1117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Gasto de Administración</w:t>
            </w:r>
          </w:p>
        </w:tc>
        <w:tc>
          <w:tcPr>
            <w:tcW w:w="1117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Recursos transferidos</w:t>
            </w:r>
          </w:p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(Pesos)</w:t>
            </w:r>
          </w:p>
        </w:tc>
        <w:tc>
          <w:tcPr>
            <w:tcW w:w="978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Programada</w:t>
            </w:r>
          </w:p>
        </w:tc>
        <w:tc>
          <w:tcPr>
            <w:tcW w:w="1923" w:type="dxa"/>
            <w:shd w:val="clear" w:color="auto" w:fill="538135" w:themeFill="accent6" w:themeFillShade="BF"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Unidad de Medida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12"/>
                <w:szCs w:val="15"/>
              </w:rPr>
            </w:pPr>
          </w:p>
        </w:tc>
        <w:tc>
          <w:tcPr>
            <w:tcW w:w="924" w:type="dxa"/>
            <w:vMerge/>
            <w:shd w:val="clear" w:color="auto" w:fill="538135" w:themeFill="accent6" w:themeFillShade="BF"/>
          </w:tcPr>
          <w:p w:rsidR="00E02A25" w:rsidRPr="008B3804" w:rsidRDefault="00E02A25" w:rsidP="00A10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</w:pPr>
          </w:p>
        </w:tc>
        <w:tc>
          <w:tcPr>
            <w:tcW w:w="1061" w:type="dxa"/>
            <w:vMerge/>
            <w:shd w:val="clear" w:color="auto" w:fill="538135" w:themeFill="accent6" w:themeFillShade="BF"/>
          </w:tcPr>
          <w:p w:rsidR="00E02A25" w:rsidRPr="008B3804" w:rsidRDefault="00E02A25" w:rsidP="00A10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5"/>
              </w:rPr>
            </w:pPr>
          </w:p>
        </w:tc>
      </w:tr>
      <w:tr w:rsidR="00A109E4" w:rsidRPr="00C45F03" w:rsidTr="0079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DB4387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  <w:hyperlink r:id="rId6" w:history="1">
              <w:r w:rsidR="00E02A25" w:rsidRPr="00C45F03">
                <w:rPr>
                  <w:rStyle w:val="Hipervnculo"/>
                  <w:rFonts w:ascii="Arial" w:hAnsi="Arial" w:cs="Arial"/>
                  <w:sz w:val="12"/>
                  <w:szCs w:val="15"/>
                </w:rPr>
                <w:t>https://semovi.cdmx.gob.mx/tramites-y-servicios/transparencia/fotradis-2019</w:t>
              </w:r>
            </w:hyperlink>
          </w:p>
        </w:tc>
        <w:tc>
          <w:tcPr>
            <w:tcW w:w="2693" w:type="dxa"/>
            <w:vMerge w:val="restart"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Proyecto integral de construcción y adaptación de infraestructura en 10 estaciones del sistema de transporte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Metrobús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>, para mejorar las condiciones de Accesibilidad para las Personas con Discapacidad y los adultos mayores promoviendo la inclusión.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Las acciones a realizar derivan de la falta de continuidad en la cadena de accesibilidad que actualmente existe y se describen de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manera general a continuación: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1. Construcción de rampas de acceso con pendientes de 6 al 8%, para la adaptación de la estación Circuito de Línea 1, a fin de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brindar accesibilidad en el transbordo entre las Líneas 1 y 3 del Sistema;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2. Construcción de rampas de acceso con pendientes de 6% a 8% para la adaptación de la estación San Simón.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3. Construcción de cruce peatonal a nivel de calle, para acceso a la estación San Simón, incluyendo señalamiento, bolardos y semáforos.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4. Adaptación de la estación Insurgentes para mejorar las condiciones de señalización, accesibilidad y seguridad en el funcionamiento de escaleras eléctricas y elevadores.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5. Rehabilitación en 9 estaciones con Ruta táctil en piso (tipo guía y de botones) para información y orientación hacia las personas con Discapacidad Visual, incluyendo placas de señalización con sistema braille en puntos de abordaje. Estaciones: San Simón L1, Circuito L1, Circuito L3, Buenavista I L1, Buenavista II L1 y L3,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Poliforum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 xml:space="preserve"> L1, Félix Cuevas L1 , Álvaro Obregón L1 e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Insurgentes L1; las cuales reportan una alta demanda de usuarios al día.</w:t>
            </w: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6. Instalación y colocación de elevador en la estación terminal Tepalcates de la Línea 2, favoreciendo la accesibilidad para el ingreso a la estación y para el transbordo con el Sistema de Transporte Colectivo.</w:t>
            </w:r>
          </w:p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El número de beneficiarios con estas acciones es de aproximadamente 173, 800 usuarios al día, es decir un 12% de la demanda diaria total del Sistema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Metrobús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>.</w:t>
            </w:r>
          </w:p>
        </w:tc>
        <w:tc>
          <w:tcPr>
            <w:tcW w:w="851" w:type="dxa"/>
            <w:vMerge w:val="restart"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sz w:val="12"/>
                <w:szCs w:val="15"/>
              </w:rPr>
              <w:t>Ciudad de México</w:t>
            </w:r>
          </w:p>
        </w:tc>
        <w:tc>
          <w:tcPr>
            <w:tcW w:w="1134" w:type="dxa"/>
            <w:vMerge w:val="restart"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>
              <w:rPr>
                <w:rFonts w:ascii="Arial" w:hAnsi="Arial" w:cs="Arial"/>
                <w:sz w:val="10"/>
                <w:szCs w:val="15"/>
              </w:rPr>
              <w:t>MUNICIPIO (S): (007);</w:t>
            </w:r>
            <w:r w:rsidRPr="00382068">
              <w:rPr>
                <w:rFonts w:ascii="Arial" w:hAnsi="Arial" w:cs="Arial"/>
                <w:sz w:val="10"/>
                <w:szCs w:val="15"/>
              </w:rPr>
              <w:t>IZTAPALAPA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 w:rsidRPr="00382068">
              <w:rPr>
                <w:rFonts w:ascii="Arial" w:hAnsi="Arial" w:cs="Arial"/>
                <w:sz w:val="10"/>
                <w:szCs w:val="15"/>
              </w:rPr>
              <w:t xml:space="preserve">(014) BENITO JUÁREZ 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>
              <w:rPr>
                <w:rFonts w:ascii="Arial" w:hAnsi="Arial" w:cs="Arial"/>
                <w:sz w:val="10"/>
                <w:szCs w:val="15"/>
              </w:rPr>
              <w:t>(015);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>
              <w:rPr>
                <w:rFonts w:ascii="Arial" w:hAnsi="Arial" w:cs="Arial"/>
                <w:sz w:val="10"/>
                <w:szCs w:val="15"/>
              </w:rPr>
              <w:t>CUAUHTÉMOC</w:t>
            </w:r>
            <w:r w:rsidRPr="00382068">
              <w:rPr>
                <w:rFonts w:ascii="Arial" w:hAnsi="Arial" w:cs="Arial"/>
                <w:sz w:val="10"/>
                <w:szCs w:val="15"/>
              </w:rPr>
              <w:t>.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 w:rsidRPr="00382068">
              <w:rPr>
                <w:rFonts w:ascii="Arial" w:hAnsi="Arial" w:cs="Arial"/>
                <w:sz w:val="10"/>
                <w:szCs w:val="15"/>
              </w:rPr>
              <w:t>LOCALIDAD</w:t>
            </w:r>
            <w:r>
              <w:rPr>
                <w:rFonts w:ascii="Arial" w:hAnsi="Arial" w:cs="Arial"/>
                <w:sz w:val="10"/>
                <w:szCs w:val="15"/>
              </w:rPr>
              <w:t>(ES</w:t>
            </w:r>
            <w:r w:rsidRPr="00382068">
              <w:rPr>
                <w:rFonts w:ascii="Arial" w:hAnsi="Arial" w:cs="Arial"/>
                <w:sz w:val="10"/>
                <w:szCs w:val="15"/>
              </w:rPr>
              <w:t>)</w:t>
            </w:r>
            <w:r>
              <w:rPr>
                <w:rFonts w:ascii="Arial" w:hAnsi="Arial" w:cs="Arial"/>
                <w:sz w:val="10"/>
                <w:szCs w:val="15"/>
              </w:rPr>
              <w:t>:</w:t>
            </w:r>
            <w:r w:rsidRPr="00382068">
              <w:rPr>
                <w:rFonts w:ascii="Arial" w:hAnsi="Arial" w:cs="Arial"/>
                <w:sz w:val="10"/>
                <w:szCs w:val="15"/>
              </w:rPr>
              <w:t xml:space="preserve"> IZTAPALAPA</w:t>
            </w:r>
          </w:p>
          <w:p w:rsidR="00E02A25" w:rsidRPr="00382068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5"/>
              </w:rPr>
            </w:pPr>
            <w:r w:rsidRPr="00382068">
              <w:rPr>
                <w:rFonts w:ascii="Arial" w:hAnsi="Arial" w:cs="Arial"/>
                <w:sz w:val="10"/>
                <w:szCs w:val="15"/>
              </w:rPr>
              <w:t xml:space="preserve">CUAUHTÉMOC BENITO JUÁREZ </w:t>
            </w:r>
          </w:p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382068">
              <w:rPr>
                <w:rFonts w:ascii="Arial" w:hAnsi="Arial" w:cs="Arial"/>
                <w:sz w:val="10"/>
                <w:szCs w:val="15"/>
              </w:rPr>
              <w:t>CUAUHTÉMOC</w:t>
            </w:r>
          </w:p>
        </w:tc>
        <w:tc>
          <w:tcPr>
            <w:tcW w:w="1911" w:type="dxa"/>
            <w:vMerge w:val="restart"/>
          </w:tcPr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>NO. DGCOP-AD-F-4-351-19, Con fecha 21 de octubre de 2019.</w:t>
            </w:r>
          </w:p>
        </w:tc>
        <w:tc>
          <w:tcPr>
            <w:tcW w:w="1701" w:type="dxa"/>
            <w:vMerge w:val="restart"/>
          </w:tcPr>
          <w:p w:rsidR="00E02A25" w:rsidRPr="004279CB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>EMPRESA GIMSA, CONSTRUCCIONES INTEGRALES DEL GOLFO, S. A. DE C.V.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 xml:space="preserve">Con el contrato  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>No. DGCOP-AD-F-4-351-19,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>Con fecha 21 de octubre de 2019.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 xml:space="preserve"> A través de la Adjudicación Directa.</w:t>
            </w:r>
          </w:p>
          <w:p w:rsidR="00E02A25" w:rsidRPr="004279CB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279CB">
              <w:rPr>
                <w:rFonts w:ascii="Arial" w:hAnsi="Arial" w:cs="Arial"/>
                <w:sz w:val="12"/>
                <w:szCs w:val="12"/>
              </w:rPr>
              <w:t xml:space="preserve"> No. OPAD-DCOB-F-235-19</w:t>
            </w:r>
          </w:p>
        </w:tc>
        <w:tc>
          <w:tcPr>
            <w:tcW w:w="1261" w:type="dxa"/>
            <w:vMerge w:val="restart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700C3D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1"/>
                <w:szCs w:val="11"/>
              </w:rPr>
            </w:pPr>
            <w:r w:rsidRPr="00700C3D">
              <w:rPr>
                <w:rFonts w:ascii="Arial" w:hAnsi="Arial" w:cs="Arial"/>
                <w:sz w:val="11"/>
                <w:szCs w:val="11"/>
              </w:rPr>
              <w:t>$ 23,243,701.00</w:t>
            </w:r>
          </w:p>
        </w:tc>
        <w:tc>
          <w:tcPr>
            <w:tcW w:w="1117" w:type="dxa"/>
            <w:vMerge w:val="restart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sz w:val="12"/>
                <w:szCs w:val="15"/>
              </w:rPr>
              <w:t>23,243.70</w:t>
            </w:r>
          </w:p>
        </w:tc>
        <w:tc>
          <w:tcPr>
            <w:tcW w:w="1117" w:type="dxa"/>
            <w:vMerge w:val="restart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 w:rsidRPr="00C45F03">
              <w:rPr>
                <w:rFonts w:ascii="Arial" w:hAnsi="Arial" w:cs="Arial"/>
                <w:sz w:val="12"/>
                <w:szCs w:val="15"/>
              </w:rPr>
              <w:t>232,437.01</w:t>
            </w:r>
          </w:p>
        </w:tc>
        <w:tc>
          <w:tcPr>
            <w:tcW w:w="1117" w:type="dxa"/>
            <w:vMerge w:val="restart"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  <w:highlight w:val="yellow"/>
              </w:rPr>
            </w:pPr>
            <w:r w:rsidRPr="00C45F03">
              <w:rPr>
                <w:rFonts w:ascii="Arial" w:hAnsi="Arial" w:cs="Arial"/>
                <w:sz w:val="12"/>
                <w:szCs w:val="15"/>
              </w:rPr>
              <w:t>$ 22,988,020.29</w:t>
            </w: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</w:p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970.00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</w:p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ML (Ruta Táctil en piso (tipo guía) de loseta de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porcelanato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 xml:space="preserve"> color amarillo).</w:t>
            </w:r>
          </w:p>
        </w:tc>
        <w:tc>
          <w:tcPr>
            <w:tcW w:w="850" w:type="dxa"/>
            <w:vMerge w:val="restart"/>
          </w:tcPr>
          <w:p w:rsidR="00E02A25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4E5928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2"/>
                <w:szCs w:val="15"/>
              </w:rPr>
              <w:t>94</w:t>
            </w:r>
            <w:r w:rsidR="00E02A25">
              <w:rPr>
                <w:rFonts w:ascii="Arial" w:hAnsi="Arial" w:cs="Arial"/>
                <w:sz w:val="12"/>
                <w:szCs w:val="15"/>
              </w:rPr>
              <w:t>%</w:t>
            </w:r>
          </w:p>
        </w:tc>
        <w:tc>
          <w:tcPr>
            <w:tcW w:w="924" w:type="dxa"/>
            <w:vMerge w:val="restart"/>
          </w:tcPr>
          <w:p w:rsidR="00E02A25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Default="004E5928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2"/>
                <w:szCs w:val="15"/>
              </w:rPr>
              <w:t>78</w:t>
            </w:r>
            <w:r w:rsidR="00E02A25">
              <w:rPr>
                <w:rFonts w:ascii="Arial" w:hAnsi="Arial" w:cs="Arial"/>
                <w:sz w:val="12"/>
                <w:szCs w:val="15"/>
              </w:rPr>
              <w:t>%</w:t>
            </w:r>
          </w:p>
        </w:tc>
        <w:tc>
          <w:tcPr>
            <w:tcW w:w="1061" w:type="dxa"/>
            <w:vMerge w:val="restart"/>
          </w:tcPr>
          <w:p w:rsidR="00E02A25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2"/>
                <w:szCs w:val="15"/>
              </w:rPr>
              <w:t>$18,887,388.61</w:t>
            </w:r>
          </w:p>
        </w:tc>
      </w:tr>
      <w:tr w:rsidR="00A109E4" w:rsidRPr="00C45F03" w:rsidTr="0079534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444.00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 xml:space="preserve">PZA (Ruta Táctil en piso (tipo botones) de loseta de </w:t>
            </w:r>
            <w:proofErr w:type="spellStart"/>
            <w:r w:rsidRPr="000B021A">
              <w:rPr>
                <w:rFonts w:ascii="Arial" w:hAnsi="Arial" w:cs="Arial"/>
                <w:sz w:val="14"/>
                <w:szCs w:val="15"/>
              </w:rPr>
              <w:t>porcelanato</w:t>
            </w:r>
            <w:proofErr w:type="spellEnd"/>
            <w:r w:rsidRPr="000B021A">
              <w:rPr>
                <w:rFonts w:ascii="Arial" w:hAnsi="Arial" w:cs="Arial"/>
                <w:sz w:val="14"/>
                <w:szCs w:val="15"/>
              </w:rPr>
              <w:t xml:space="preserve"> amarillo).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26.00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</w:t>
            </w:r>
            <w:r>
              <w:rPr>
                <w:rFonts w:ascii="Arial" w:hAnsi="Arial" w:cs="Arial"/>
                <w:sz w:val="14"/>
                <w:szCs w:val="15"/>
              </w:rPr>
              <w:t xml:space="preserve"> </w:t>
            </w:r>
            <w:r w:rsidRPr="000B021A">
              <w:rPr>
                <w:rFonts w:ascii="Arial" w:hAnsi="Arial" w:cs="Arial"/>
                <w:sz w:val="14"/>
                <w:szCs w:val="15"/>
              </w:rPr>
              <w:t>(Placa de señalización Braille con pedestal, ambos de acero inoxidable).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560.00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M2</w:t>
            </w:r>
            <w:r>
              <w:rPr>
                <w:rFonts w:ascii="Arial" w:hAnsi="Arial" w:cs="Arial"/>
                <w:sz w:val="14"/>
                <w:szCs w:val="15"/>
              </w:rPr>
              <w:t xml:space="preserve"> </w:t>
            </w:r>
            <w:r w:rsidRPr="000B021A">
              <w:rPr>
                <w:rFonts w:ascii="Arial" w:hAnsi="Arial" w:cs="Arial"/>
                <w:sz w:val="14"/>
                <w:szCs w:val="15"/>
              </w:rPr>
              <w:t>(Rampa de acceso con pendiente de 6 a 8% (incluye barandales de protección).)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56.00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M2 (Construcción de cruce peatonal a nivel de calle).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28.00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(Luminarias para rampas de acceso).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(Instalación y colocación de elevador (incluye todos los componentes necesarios).)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347.00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sz w:val="14"/>
                <w:szCs w:val="15"/>
              </w:rPr>
              <w:t>M2</w:t>
            </w:r>
            <w:r w:rsidRPr="000B021A">
              <w:rPr>
                <w:rFonts w:ascii="Arial" w:hAnsi="Arial" w:cs="Arial"/>
                <w:sz w:val="14"/>
                <w:szCs w:val="15"/>
              </w:rPr>
              <w:t>(Instalación de cerramiento para seguridad en escaleras eléctricas y elevadores).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6.00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>
              <w:rPr>
                <w:rFonts w:ascii="Arial" w:hAnsi="Arial" w:cs="Arial"/>
                <w:sz w:val="14"/>
                <w:szCs w:val="15"/>
              </w:rPr>
              <w:t xml:space="preserve">PZA </w:t>
            </w:r>
            <w:r w:rsidRPr="000B021A">
              <w:rPr>
                <w:rFonts w:ascii="Arial" w:hAnsi="Arial" w:cs="Arial"/>
                <w:sz w:val="14"/>
                <w:szCs w:val="15"/>
              </w:rPr>
              <w:t>(Equipo fijo para escaleras eléctricas y elevadores (incluye instalaciones).)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12.00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ML (Barandales de apoyo para escaleras).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300.00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ML (Señalamiento horizontal al exterior).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13.00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(Señalamiento vertical al interior).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16.00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(Bolardos de 90 cm de altura libre en cruce peatonal).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4.00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(Semáforo vehicular para adaptación del cruce peatonal)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  <w:tr w:rsidR="00A109E4" w:rsidRPr="00C45F03" w:rsidTr="0079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2693" w:type="dxa"/>
            <w:vMerge/>
          </w:tcPr>
          <w:p w:rsidR="00E02A25" w:rsidRPr="00C45F03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85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3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91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70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261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117" w:type="dxa"/>
            <w:vMerge/>
          </w:tcPr>
          <w:p w:rsidR="00E02A25" w:rsidRPr="00C45F03" w:rsidRDefault="00E02A25" w:rsidP="00A1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78" w:type="dxa"/>
          </w:tcPr>
          <w:p w:rsidR="00E02A25" w:rsidRPr="000B021A" w:rsidRDefault="00E02A25" w:rsidP="00A109E4">
            <w:pPr>
              <w:pStyle w:val="Prrafodelista"/>
              <w:autoSpaceDE w:val="0"/>
              <w:autoSpaceDN w:val="0"/>
              <w:adjustRightInd w:val="0"/>
              <w:ind w:left="1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4.00</w:t>
            </w:r>
          </w:p>
        </w:tc>
        <w:tc>
          <w:tcPr>
            <w:tcW w:w="1923" w:type="dxa"/>
          </w:tcPr>
          <w:p w:rsidR="00E02A25" w:rsidRPr="000B021A" w:rsidRDefault="00E02A25" w:rsidP="00A109E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5"/>
              </w:rPr>
            </w:pPr>
            <w:r w:rsidRPr="000B021A">
              <w:rPr>
                <w:rFonts w:ascii="Arial" w:hAnsi="Arial" w:cs="Arial"/>
                <w:sz w:val="14"/>
                <w:szCs w:val="15"/>
              </w:rPr>
              <w:t>PZA (Semáforo peatonal audible en adaptación de cruce peatonal).</w:t>
            </w:r>
          </w:p>
        </w:tc>
        <w:tc>
          <w:tcPr>
            <w:tcW w:w="850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924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tcW w:w="1061" w:type="dxa"/>
            <w:vMerge/>
          </w:tcPr>
          <w:p w:rsidR="00E02A25" w:rsidRPr="00C45F03" w:rsidRDefault="00E02A25" w:rsidP="00A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</w:tr>
    </w:tbl>
    <w:p w:rsidR="00A109E4" w:rsidRPr="00A109E4" w:rsidRDefault="00A109E4" w:rsidP="00A109E4">
      <w:pPr>
        <w:rPr>
          <w:rFonts w:ascii="Arial" w:hAnsi="Arial" w:cs="Arial"/>
          <w:sz w:val="2"/>
          <w:szCs w:val="16"/>
        </w:rPr>
      </w:pPr>
    </w:p>
    <w:p w:rsidR="00A109E4" w:rsidRDefault="00A109E4" w:rsidP="00795344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-</w:t>
      </w:r>
      <w:r w:rsidRPr="00A109E4">
        <w:rPr>
          <w:rFonts w:ascii="Arial" w:hAnsi="Arial" w:cs="Arial"/>
          <w:sz w:val="12"/>
          <w:szCs w:val="16"/>
        </w:rPr>
        <w:t>La diferencia de recursos entre el monto comprometido y los recursos transferidos (convenido) será reintegrada a la TESOFE, de conformidad con el Convenio de FOTRADIS y la normatividad aplicable.</w:t>
      </w:r>
    </w:p>
    <w:p w:rsidR="00795344" w:rsidRDefault="00795344" w:rsidP="0068588E">
      <w:pPr>
        <w:spacing w:after="0" w:line="24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*Con información de la </w:t>
      </w:r>
      <w:r w:rsidRPr="00795344">
        <w:rPr>
          <w:rFonts w:ascii="Arial" w:hAnsi="Arial" w:cs="Arial"/>
          <w:sz w:val="12"/>
          <w:szCs w:val="16"/>
        </w:rPr>
        <w:t>Dirección General de Construcción de Obras Públicas</w:t>
      </w:r>
      <w:r>
        <w:rPr>
          <w:rFonts w:ascii="Arial" w:hAnsi="Arial" w:cs="Arial"/>
          <w:sz w:val="12"/>
          <w:szCs w:val="16"/>
        </w:rPr>
        <w:t>, Secretaría de Obras y S</w:t>
      </w:r>
      <w:r w:rsidRPr="00795344">
        <w:rPr>
          <w:rFonts w:ascii="Arial" w:hAnsi="Arial" w:cs="Arial"/>
          <w:sz w:val="12"/>
          <w:szCs w:val="16"/>
        </w:rPr>
        <w:t>ervicios de la Ciudad de México.</w:t>
      </w:r>
      <w:r w:rsidR="004E5928">
        <w:rPr>
          <w:rFonts w:ascii="Arial" w:hAnsi="Arial" w:cs="Arial"/>
          <w:sz w:val="12"/>
          <w:szCs w:val="16"/>
        </w:rPr>
        <w:t xml:space="preserve"> CDMX/SOBSE/SI/DGCOP/31.03.20/002</w:t>
      </w:r>
      <w:r>
        <w:rPr>
          <w:rFonts w:ascii="Arial" w:hAnsi="Arial" w:cs="Arial"/>
          <w:sz w:val="12"/>
          <w:szCs w:val="16"/>
        </w:rPr>
        <w:t>.</w:t>
      </w:r>
      <w:bookmarkStart w:id="0" w:name="_GoBack"/>
      <w:bookmarkEnd w:id="0"/>
    </w:p>
    <w:p w:rsidR="00DB4387" w:rsidRDefault="00DB4387" w:rsidP="0068588E">
      <w:pPr>
        <w:spacing w:after="0" w:line="240" w:lineRule="auto"/>
        <w:rPr>
          <w:rFonts w:ascii="Arial" w:hAnsi="Arial" w:cs="Arial"/>
          <w:sz w:val="12"/>
          <w:szCs w:val="16"/>
        </w:rPr>
      </w:pPr>
    </w:p>
    <w:p w:rsidR="00DB4387" w:rsidRDefault="00DB4387" w:rsidP="0068588E">
      <w:pPr>
        <w:spacing w:after="0" w:line="240" w:lineRule="auto"/>
        <w:rPr>
          <w:rFonts w:ascii="Arial" w:hAnsi="Arial" w:cs="Arial"/>
          <w:sz w:val="12"/>
          <w:szCs w:val="16"/>
        </w:rPr>
      </w:pPr>
    </w:p>
    <w:p w:rsidR="00DB4387" w:rsidRDefault="00DB4387" w:rsidP="0068588E">
      <w:pPr>
        <w:spacing w:after="0" w:line="240" w:lineRule="auto"/>
        <w:rPr>
          <w:rFonts w:ascii="Arial" w:hAnsi="Arial" w:cs="Arial"/>
          <w:sz w:val="12"/>
          <w:szCs w:val="16"/>
        </w:rPr>
      </w:pPr>
    </w:p>
    <w:p w:rsidR="00DB4387" w:rsidRPr="00DB4387" w:rsidRDefault="00DB4387" w:rsidP="00DB4387">
      <w:pPr>
        <w:spacing w:after="0" w:line="240" w:lineRule="auto"/>
        <w:jc w:val="center"/>
        <w:rPr>
          <w:rFonts w:ascii="Arial" w:hAnsi="Arial" w:cs="Arial"/>
          <w:i/>
          <w:color w:val="44546A" w:themeColor="text2"/>
          <w:sz w:val="14"/>
          <w:szCs w:val="16"/>
        </w:rPr>
      </w:pPr>
      <w:r w:rsidRPr="00DB4387">
        <w:rPr>
          <w:rFonts w:ascii="Arial" w:hAnsi="Arial" w:cs="Arial"/>
          <w:i/>
          <w:color w:val="44546A" w:themeColor="text2"/>
          <w:sz w:val="14"/>
          <w:szCs w:val="16"/>
        </w:rPr>
        <w:t>"Este programa es público, ajeno a cualquier partido político. Queda prohibido el uso para fines distintos a los establecidos en el programa".</w:t>
      </w:r>
    </w:p>
    <w:sectPr w:rsidR="00DB4387" w:rsidRPr="00DB4387" w:rsidSect="00795344">
      <w:pgSz w:w="20160" w:h="12240" w:orient="landscape" w:code="5"/>
      <w:pgMar w:top="720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1E"/>
    <w:multiLevelType w:val="hybridMultilevel"/>
    <w:tmpl w:val="03D6AC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E1204"/>
    <w:multiLevelType w:val="hybridMultilevel"/>
    <w:tmpl w:val="AFB2C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506A"/>
    <w:multiLevelType w:val="hybridMultilevel"/>
    <w:tmpl w:val="8B72F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942F3"/>
    <w:multiLevelType w:val="hybridMultilevel"/>
    <w:tmpl w:val="5E1CC8E4"/>
    <w:lvl w:ilvl="0" w:tplc="08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5DE56E2F"/>
    <w:multiLevelType w:val="hybridMultilevel"/>
    <w:tmpl w:val="2D382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368C"/>
    <w:multiLevelType w:val="hybridMultilevel"/>
    <w:tmpl w:val="AF82C5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C"/>
    <w:rsid w:val="00010CBB"/>
    <w:rsid w:val="00051723"/>
    <w:rsid w:val="00051BD4"/>
    <w:rsid w:val="000847E8"/>
    <w:rsid w:val="000B021A"/>
    <w:rsid w:val="00132BA9"/>
    <w:rsid w:val="0013780D"/>
    <w:rsid w:val="001655B7"/>
    <w:rsid w:val="00177C91"/>
    <w:rsid w:val="001D1281"/>
    <w:rsid w:val="001D5B3A"/>
    <w:rsid w:val="00220A17"/>
    <w:rsid w:val="00223771"/>
    <w:rsid w:val="002307F4"/>
    <w:rsid w:val="0025451B"/>
    <w:rsid w:val="002733DB"/>
    <w:rsid w:val="00382068"/>
    <w:rsid w:val="00392F40"/>
    <w:rsid w:val="003D3888"/>
    <w:rsid w:val="003E0D73"/>
    <w:rsid w:val="004279CB"/>
    <w:rsid w:val="00437847"/>
    <w:rsid w:val="004E5928"/>
    <w:rsid w:val="00595218"/>
    <w:rsid w:val="005A0E78"/>
    <w:rsid w:val="005E66CA"/>
    <w:rsid w:val="00615A07"/>
    <w:rsid w:val="0068588E"/>
    <w:rsid w:val="006B5105"/>
    <w:rsid w:val="006C3BCB"/>
    <w:rsid w:val="006D00DF"/>
    <w:rsid w:val="006E5937"/>
    <w:rsid w:val="00700C3D"/>
    <w:rsid w:val="0076033C"/>
    <w:rsid w:val="007865E9"/>
    <w:rsid w:val="00795344"/>
    <w:rsid w:val="007C1E65"/>
    <w:rsid w:val="007D7C95"/>
    <w:rsid w:val="007F1949"/>
    <w:rsid w:val="00834BEB"/>
    <w:rsid w:val="008A1313"/>
    <w:rsid w:val="008A461F"/>
    <w:rsid w:val="008B3804"/>
    <w:rsid w:val="00900438"/>
    <w:rsid w:val="00913BE7"/>
    <w:rsid w:val="00925AB4"/>
    <w:rsid w:val="00A109E4"/>
    <w:rsid w:val="00A25F40"/>
    <w:rsid w:val="00A63B65"/>
    <w:rsid w:val="00A90A0E"/>
    <w:rsid w:val="00B173A3"/>
    <w:rsid w:val="00B67CEC"/>
    <w:rsid w:val="00C101F0"/>
    <w:rsid w:val="00C24EFB"/>
    <w:rsid w:val="00C353AA"/>
    <w:rsid w:val="00C418D5"/>
    <w:rsid w:val="00C45F03"/>
    <w:rsid w:val="00C7524D"/>
    <w:rsid w:val="00C96566"/>
    <w:rsid w:val="00CD488D"/>
    <w:rsid w:val="00DB4387"/>
    <w:rsid w:val="00E02A25"/>
    <w:rsid w:val="00E04D2C"/>
    <w:rsid w:val="00E2581D"/>
    <w:rsid w:val="00E263B9"/>
    <w:rsid w:val="00E26572"/>
    <w:rsid w:val="00E35BCB"/>
    <w:rsid w:val="00E61FF9"/>
    <w:rsid w:val="00EA06AC"/>
    <w:rsid w:val="00EA255A"/>
    <w:rsid w:val="00EF731C"/>
    <w:rsid w:val="00F24652"/>
    <w:rsid w:val="00F333B8"/>
    <w:rsid w:val="00FB4026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F778"/>
  <w15:docId w15:val="{06B3E968-8CC5-430F-A9C5-8208E0DF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61">
    <w:name w:val="Tabla de lista 3 - Énfasis 61"/>
    <w:basedOn w:val="Tablanormal"/>
    <w:uiPriority w:val="48"/>
    <w:rsid w:val="00C418D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2657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7C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movi.cdmx.gob.mx/tramites-y-servicios/transparencia/fotradis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2B4C-FD79-4C74-9D58-EDD3C653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DGSPAEM</cp:lastModifiedBy>
  <cp:revision>3</cp:revision>
  <cp:lastPrinted>2019-10-28T18:29:00Z</cp:lastPrinted>
  <dcterms:created xsi:type="dcterms:W3CDTF">2020-11-05T06:00:00Z</dcterms:created>
  <dcterms:modified xsi:type="dcterms:W3CDTF">2020-11-05T15:55:00Z</dcterms:modified>
</cp:coreProperties>
</file>