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B3" w:rsidRPr="005C394B" w:rsidRDefault="005875F1" w:rsidP="002D4CE0">
      <w:pPr>
        <w:spacing w:after="120" w:line="240" w:lineRule="auto"/>
        <w:ind w:left="-426"/>
        <w:rPr>
          <w:rFonts w:ascii="Source Sans Pro" w:hAnsi="Source Sans Pro"/>
          <w:b/>
          <w:sz w:val="17"/>
          <w:szCs w:val="17"/>
        </w:rPr>
      </w:pPr>
      <w:r w:rsidRPr="005C394B">
        <w:rPr>
          <w:rFonts w:ascii="Source Sans Pro" w:hAnsi="Source Sans Pro"/>
          <w:b/>
          <w:sz w:val="17"/>
          <w:szCs w:val="17"/>
        </w:rPr>
        <w:t>RAMO GENERAL 23 PROVISIONES SALARIALES Y ECONÓMICAS</w:t>
      </w:r>
    </w:p>
    <w:p w:rsidR="00F85C00" w:rsidRPr="005C394B" w:rsidRDefault="00F85C00" w:rsidP="002D4CE0">
      <w:pPr>
        <w:spacing w:after="120" w:line="240" w:lineRule="auto"/>
        <w:ind w:left="-426"/>
        <w:rPr>
          <w:rFonts w:ascii="Source Sans Pro" w:hAnsi="Source Sans Pro"/>
          <w:b/>
          <w:sz w:val="17"/>
          <w:szCs w:val="17"/>
        </w:rPr>
      </w:pPr>
      <w:r w:rsidRPr="005C394B">
        <w:rPr>
          <w:rFonts w:ascii="Source Sans Pro" w:hAnsi="Source Sans Pro"/>
          <w:b/>
          <w:sz w:val="17"/>
          <w:szCs w:val="17"/>
        </w:rPr>
        <w:t>FONDO PARA LA ACCESIBILIDAD EN EL TRANSPORTE PÚBLICO PARA LAS PERSONAS CON DISCAPACIDAD PARA EL EJERCICIO FISCAL 2020.</w:t>
      </w:r>
    </w:p>
    <w:p w:rsidR="005875F1" w:rsidRPr="005C394B" w:rsidRDefault="005875F1" w:rsidP="002D4CE0">
      <w:pPr>
        <w:spacing w:after="120" w:line="240" w:lineRule="auto"/>
        <w:ind w:left="-426"/>
        <w:rPr>
          <w:rFonts w:ascii="Source Sans Pro" w:hAnsi="Source Sans Pro"/>
          <w:b/>
          <w:sz w:val="17"/>
          <w:szCs w:val="17"/>
        </w:rPr>
      </w:pPr>
      <w:r w:rsidRPr="005C394B">
        <w:rPr>
          <w:rFonts w:ascii="Source Sans Pro" w:hAnsi="Source Sans Pro"/>
          <w:b/>
          <w:sz w:val="17"/>
          <w:szCs w:val="17"/>
        </w:rPr>
        <w:t>ENTIDAD FEDERATIVA: CIUDAD DE MÉXICO</w:t>
      </w:r>
      <w:r w:rsidR="00B94E2E" w:rsidRPr="005C394B">
        <w:rPr>
          <w:rFonts w:ascii="Source Sans Pro" w:hAnsi="Source Sans Pro"/>
          <w:b/>
          <w:sz w:val="17"/>
          <w:szCs w:val="17"/>
        </w:rPr>
        <w:t>.</w:t>
      </w:r>
    </w:p>
    <w:p w:rsidR="00B94E2E" w:rsidRPr="005C394B" w:rsidRDefault="00B94E2E" w:rsidP="002D4CE0">
      <w:pPr>
        <w:spacing w:after="120" w:line="240" w:lineRule="auto"/>
        <w:ind w:left="-426"/>
        <w:rPr>
          <w:rFonts w:ascii="Source Sans Pro" w:hAnsi="Source Sans Pro"/>
          <w:b/>
          <w:sz w:val="17"/>
          <w:szCs w:val="17"/>
        </w:rPr>
      </w:pPr>
      <w:r w:rsidRPr="005C394B">
        <w:rPr>
          <w:rFonts w:ascii="Source Sans Pro" w:hAnsi="Source Sans Pro"/>
          <w:b/>
          <w:sz w:val="17"/>
          <w:szCs w:val="17"/>
        </w:rPr>
        <w:t>N°. DEL PROYECTO: 1</w:t>
      </w:r>
      <w:r w:rsidR="001A15BB" w:rsidRPr="005C394B">
        <w:rPr>
          <w:rFonts w:ascii="Source Sans Pro" w:hAnsi="Source Sans Pro"/>
          <w:b/>
          <w:sz w:val="17"/>
          <w:szCs w:val="17"/>
        </w:rPr>
        <w:t>.</w:t>
      </w:r>
    </w:p>
    <w:p w:rsidR="00B94E2E" w:rsidRPr="005C394B" w:rsidRDefault="00B94E2E" w:rsidP="002D4CE0">
      <w:pPr>
        <w:spacing w:after="120" w:line="240" w:lineRule="auto"/>
        <w:ind w:left="-426"/>
        <w:rPr>
          <w:rFonts w:ascii="Source Sans Pro" w:hAnsi="Source Sans Pro"/>
          <w:b/>
          <w:sz w:val="17"/>
          <w:szCs w:val="17"/>
        </w:rPr>
      </w:pPr>
      <w:r w:rsidRPr="005C394B">
        <w:rPr>
          <w:rFonts w:ascii="Source Sans Pro" w:hAnsi="Source Sans Pro"/>
          <w:b/>
          <w:sz w:val="17"/>
          <w:szCs w:val="17"/>
        </w:rPr>
        <w:t>N°.</w:t>
      </w:r>
      <w:r w:rsidR="00287AA6" w:rsidRPr="005C394B">
        <w:rPr>
          <w:rFonts w:ascii="Source Sans Pro" w:hAnsi="Source Sans Pro"/>
          <w:b/>
          <w:sz w:val="17"/>
          <w:szCs w:val="17"/>
        </w:rPr>
        <w:t xml:space="preserve"> </w:t>
      </w:r>
      <w:r w:rsidRPr="005C394B">
        <w:rPr>
          <w:rFonts w:ascii="Source Sans Pro" w:hAnsi="Source Sans Pro"/>
          <w:b/>
          <w:sz w:val="17"/>
          <w:szCs w:val="17"/>
        </w:rPr>
        <w:t>DE FOLIO EN EL SISTEMA: 12579617</w:t>
      </w:r>
    </w:p>
    <w:tbl>
      <w:tblPr>
        <w:tblStyle w:val="Tablaconcuadrcula"/>
        <w:tblW w:w="19461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2633"/>
        <w:gridCol w:w="996"/>
        <w:gridCol w:w="1417"/>
        <w:gridCol w:w="193"/>
        <w:gridCol w:w="1638"/>
        <w:gridCol w:w="1032"/>
        <w:gridCol w:w="1549"/>
        <w:gridCol w:w="1161"/>
        <w:gridCol w:w="1032"/>
        <w:gridCol w:w="1333"/>
        <w:gridCol w:w="860"/>
        <w:gridCol w:w="903"/>
        <w:gridCol w:w="1032"/>
        <w:gridCol w:w="1741"/>
        <w:gridCol w:w="1297"/>
        <w:gridCol w:w="19"/>
      </w:tblGrid>
      <w:tr w:rsidR="0029329C" w:rsidRPr="003A31BC" w:rsidTr="00B908BF">
        <w:trPr>
          <w:trHeight w:val="224"/>
        </w:trPr>
        <w:tc>
          <w:tcPr>
            <w:tcW w:w="1946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29329C" w:rsidRPr="003A31BC" w:rsidRDefault="00F44ACC" w:rsidP="00E9463D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  <w:t>3 ER</w:t>
            </w:r>
            <w:r w:rsidR="0029329C" w:rsidRPr="0029329C"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  <w:t xml:space="preserve">. TRIMESTRE </w:t>
            </w:r>
            <w:r w:rsidR="007F1AC2"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  <w:t>(</w:t>
            </w:r>
            <w:r w:rsidR="00E9463D"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  <w:t>DIC</w:t>
            </w:r>
            <w:r w:rsidR="00072825"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  <w:t>.</w:t>
            </w:r>
            <w:r w:rsidR="007F1AC2" w:rsidRPr="007F1AC2"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  <w:t xml:space="preserve"> 2020</w:t>
            </w:r>
            <w:r w:rsidR="00E9463D"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  <w:t>-FEB.</w:t>
            </w:r>
            <w:bookmarkStart w:id="0" w:name="_GoBack"/>
            <w:bookmarkEnd w:id="0"/>
            <w:r w:rsidR="00E9463D"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  <w:t>2021</w:t>
            </w:r>
            <w:r w:rsidR="007F1AC2"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  <w:t>)</w:t>
            </w:r>
            <w:r w:rsidR="0029329C"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  <w:t xml:space="preserve">      </w:t>
            </w:r>
            <w:r w:rsidR="0029329C" w:rsidRPr="003A31BC">
              <w:rPr>
                <w:rFonts w:ascii="Source Sans Pro" w:hAnsi="Source Sans Pro"/>
                <w:b/>
                <w:color w:val="FFFFFF" w:themeColor="background1"/>
                <w:sz w:val="16"/>
                <w:szCs w:val="14"/>
              </w:rPr>
              <w:t>METROBÚS ACCESIBLE PARA PERSONAS CON DISCAPACDAD PROYECTO INTEGRAL DE CONSTRUCCIÓN Y ADAPTACIÓN PARA EL TRANSPORTE EN SEIS ESTACIONES DE LA LÍNEA 1,  2020</w:t>
            </w:r>
          </w:p>
        </w:tc>
      </w:tr>
      <w:tr w:rsidR="0030188E" w:rsidRPr="003A31BC" w:rsidTr="001B6D37">
        <w:trPr>
          <w:gridAfter w:val="1"/>
          <w:wAfter w:w="19" w:type="dxa"/>
          <w:trHeight w:val="176"/>
        </w:trPr>
        <w:tc>
          <w:tcPr>
            <w:tcW w:w="62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  <w:vAlign w:val="center"/>
          </w:tcPr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LINK</w:t>
            </w:r>
          </w:p>
        </w:tc>
        <w:tc>
          <w:tcPr>
            <w:tcW w:w="263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  <w:vAlign w:val="center"/>
          </w:tcPr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DESCRIPCIÓN DEL PROYECTO</w:t>
            </w:r>
          </w:p>
        </w:tc>
        <w:tc>
          <w:tcPr>
            <w:tcW w:w="2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 w:rsidP="00133607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META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  <w:vAlign w:val="center"/>
          </w:tcPr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UBICACIÓN, MUNICIPIO Y LOCALIDAD</w:t>
            </w:r>
          </w:p>
        </w:tc>
        <w:tc>
          <w:tcPr>
            <w:tcW w:w="10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  <w:vAlign w:val="center"/>
          </w:tcPr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INSTANCIA EJECUTORA O</w:t>
            </w:r>
          </w:p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UNIDAD RESPONSABLE</w:t>
            </w:r>
          </w:p>
        </w:tc>
        <w:tc>
          <w:tcPr>
            <w:tcW w:w="154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</w:p>
          <w:p w:rsidR="0030188E" w:rsidRPr="000A7C59" w:rsidRDefault="0030188E" w:rsidP="000A7C59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PROVEEDOR /</w:t>
            </w:r>
            <w:r w:rsidRPr="000A7C59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 xml:space="preserve"> ACTA DE FALLO</w:t>
            </w:r>
            <w:r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/</w:t>
            </w:r>
          </w:p>
          <w:p w:rsidR="0030188E" w:rsidRPr="003A31BC" w:rsidRDefault="0030188E" w:rsidP="000A7C59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0A7C59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CONTRATO DE OBRA</w:t>
            </w:r>
          </w:p>
        </w:tc>
        <w:tc>
          <w:tcPr>
            <w:tcW w:w="116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  <w:vAlign w:val="center"/>
          </w:tcPr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RECURSOS PROGRAMADOS (PESOS)</w:t>
            </w:r>
          </w:p>
        </w:tc>
        <w:tc>
          <w:tcPr>
            <w:tcW w:w="10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  <w:vAlign w:val="center"/>
          </w:tcPr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RETENCIÓN 1 AL MILLAR ASF</w:t>
            </w:r>
          </w:p>
        </w:tc>
        <w:tc>
          <w:tcPr>
            <w:tcW w:w="133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  <w:vAlign w:val="center"/>
          </w:tcPr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GASTOS DE ADMINISTRACIÓN</w:t>
            </w:r>
          </w:p>
        </w:tc>
        <w:tc>
          <w:tcPr>
            <w:tcW w:w="8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  <w:vAlign w:val="center"/>
          </w:tcPr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RECURSOS TRANSFERIDOS (PESOS)</w:t>
            </w:r>
          </w:p>
        </w:tc>
        <w:tc>
          <w:tcPr>
            <w:tcW w:w="9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 w:rsidP="00A04F7F">
            <w:pPr>
              <w:tabs>
                <w:tab w:val="center" w:pos="637"/>
              </w:tabs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</w:p>
          <w:p w:rsidR="0030188E" w:rsidRPr="003A31BC" w:rsidRDefault="007F1AC2" w:rsidP="00B329D8">
            <w:pPr>
              <w:tabs>
                <w:tab w:val="center" w:pos="637"/>
              </w:tabs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*</w:t>
            </w:r>
            <w:r w:rsidR="0030188E"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AVANCE FÍSICO</w:t>
            </w:r>
          </w:p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color w:val="FFFFFF" w:themeColor="background1"/>
                <w:sz w:val="14"/>
                <w:szCs w:val="14"/>
              </w:rPr>
              <w:t>%</w:t>
            </w:r>
          </w:p>
        </w:tc>
        <w:tc>
          <w:tcPr>
            <w:tcW w:w="10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 w:rsidP="00EB16BB">
            <w:pPr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</w:p>
          <w:p w:rsidR="0030188E" w:rsidRPr="003A31BC" w:rsidRDefault="007F1AC2" w:rsidP="00A04F7F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*</w:t>
            </w:r>
            <w:r w:rsidR="0030188E"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AVANCE FINANCIERO</w:t>
            </w:r>
          </w:p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%</w:t>
            </w:r>
          </w:p>
        </w:tc>
        <w:tc>
          <w:tcPr>
            <w:tcW w:w="174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 w:rsidP="00B94E2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</w:p>
          <w:p w:rsidR="0030188E" w:rsidRPr="003A31BC" w:rsidRDefault="0030188E" w:rsidP="00B94E2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*</w:t>
            </w:r>
            <w:r w:rsidR="007F1AC2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*</w:t>
            </w: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MONTO</w:t>
            </w:r>
          </w:p>
          <w:p w:rsidR="0030188E" w:rsidRPr="003A31BC" w:rsidRDefault="0030188E" w:rsidP="00B94E2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COMPROMETIDO</w:t>
            </w:r>
          </w:p>
        </w:tc>
        <w:tc>
          <w:tcPr>
            <w:tcW w:w="129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 w:rsidP="00960261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</w:p>
          <w:p w:rsidR="0030188E" w:rsidRPr="003A31BC" w:rsidRDefault="007F1AC2" w:rsidP="00960261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*</w:t>
            </w:r>
            <w:r w:rsidR="0030188E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*</w:t>
            </w:r>
            <w:r w:rsidR="0030188E"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*Economías</w:t>
            </w:r>
          </w:p>
        </w:tc>
      </w:tr>
      <w:tr w:rsidR="0030188E" w:rsidRPr="003A31BC" w:rsidTr="001B6D37">
        <w:trPr>
          <w:gridAfter w:val="1"/>
          <w:wAfter w:w="19" w:type="dxa"/>
          <w:trHeight w:val="438"/>
        </w:trPr>
        <w:tc>
          <w:tcPr>
            <w:tcW w:w="62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263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  <w:vAlign w:val="center"/>
          </w:tcPr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PROGRAMADA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</w:p>
          <w:p w:rsidR="0030188E" w:rsidRPr="003A31BC" w:rsidRDefault="0030188E" w:rsidP="00F668B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  <w:r w:rsidRPr="003A31BC"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  <w:t>UNIDAD DE MEDIDA</w:t>
            </w:r>
          </w:p>
        </w:tc>
        <w:tc>
          <w:tcPr>
            <w:tcW w:w="1831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0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1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0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33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90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03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>
            <w:pPr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29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000"/>
          </w:tcPr>
          <w:p w:rsidR="0030188E" w:rsidRPr="003A31BC" w:rsidRDefault="0030188E" w:rsidP="00960261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30188E" w:rsidRPr="003A31BC" w:rsidTr="001B6D37">
        <w:trPr>
          <w:gridAfter w:val="1"/>
          <w:wAfter w:w="19" w:type="dxa"/>
          <w:trHeight w:val="686"/>
        </w:trPr>
        <w:tc>
          <w:tcPr>
            <w:tcW w:w="62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30188E" w:rsidRPr="000A7C59" w:rsidRDefault="000C1DC1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hyperlink r:id="rId5" w:history="1">
              <w:r w:rsidR="0030188E" w:rsidRPr="000A7C59">
                <w:rPr>
                  <w:rStyle w:val="Hipervnculo"/>
                  <w:rFonts w:ascii="Source Sans Pro" w:hAnsi="Source Sans Pro"/>
                  <w:sz w:val="13"/>
                  <w:szCs w:val="15"/>
                </w:rPr>
                <w:t>https://semovi.cdmx.gob.mx/tramites-y-servicios/transparencia/fotradis-2020</w:t>
              </w:r>
            </w:hyperlink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30188E" w:rsidRPr="000A7C59" w:rsidRDefault="0030188E" w:rsidP="006B25E9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Proyecto tiene como objetivo mejorar las condiciones de Accesibilidad para las Personas con Discapacidad y los adultos mayores. Las acciones a realizar de manera general son;</w:t>
            </w:r>
          </w:p>
          <w:p w:rsidR="0030188E" w:rsidRPr="000A7C59" w:rsidRDefault="0030188E" w:rsidP="006B25E9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1.- Adaptación en estaciones Doctor "Gálvez" y "</w:t>
            </w:r>
            <w:proofErr w:type="spellStart"/>
            <w:r w:rsidRPr="000A7C59">
              <w:rPr>
                <w:rFonts w:ascii="Source Sans Pro" w:hAnsi="Source Sans Pro"/>
                <w:sz w:val="13"/>
                <w:szCs w:val="15"/>
              </w:rPr>
              <w:t>Euzkaro</w:t>
            </w:r>
            <w:proofErr w:type="spellEnd"/>
            <w:r w:rsidRPr="000A7C59">
              <w:rPr>
                <w:rFonts w:ascii="Source Sans Pro" w:hAnsi="Source Sans Pro"/>
                <w:sz w:val="13"/>
                <w:szCs w:val="15"/>
              </w:rPr>
              <w:t xml:space="preserve">", ambas estaciones pertenecientes a la "Línea 1" de </w:t>
            </w:r>
            <w:proofErr w:type="spellStart"/>
            <w:r w:rsidRPr="000A7C59">
              <w:rPr>
                <w:rFonts w:ascii="Source Sans Pro" w:hAnsi="Source Sans Pro"/>
                <w:sz w:val="13"/>
                <w:szCs w:val="15"/>
              </w:rPr>
              <w:t>Metrobús</w:t>
            </w:r>
            <w:proofErr w:type="spellEnd"/>
            <w:r w:rsidRPr="000A7C59">
              <w:rPr>
                <w:rFonts w:ascii="Source Sans Pro" w:hAnsi="Source Sans Pro"/>
                <w:sz w:val="13"/>
                <w:szCs w:val="15"/>
              </w:rPr>
              <w:t>, con la colocación en piso de 270 m2 lineales de ruta táctil tipo guía y 133 metros lineales de ruta táctil tipo botones, para información y orientación a las personas con Discapacidad Visual, incluyendo la colocación de 19 placas de señalización con sistema Braille y 16 bolardos para protección en el cruce peatonal de acceso.</w:t>
            </w:r>
          </w:p>
          <w:p w:rsidR="0030188E" w:rsidRPr="000A7C59" w:rsidRDefault="0030188E" w:rsidP="006B25E9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2.- Construcción de dos rampas de acceso peatonal, con pendientes del 6 al 8 %, para la adaptación a la estación "</w:t>
            </w:r>
            <w:proofErr w:type="spellStart"/>
            <w:r w:rsidRPr="000A7C59">
              <w:rPr>
                <w:rFonts w:ascii="Source Sans Pro" w:hAnsi="Source Sans Pro"/>
                <w:sz w:val="13"/>
                <w:szCs w:val="15"/>
              </w:rPr>
              <w:t>Euzkaro</w:t>
            </w:r>
            <w:proofErr w:type="spellEnd"/>
            <w:r w:rsidRPr="000A7C59">
              <w:rPr>
                <w:rFonts w:ascii="Source Sans Pro" w:hAnsi="Source Sans Pro"/>
                <w:sz w:val="13"/>
                <w:szCs w:val="15"/>
              </w:rPr>
              <w:t xml:space="preserve">" (plataforma oriente y plataforma poniente) de la "Línea 1" de </w:t>
            </w:r>
            <w:proofErr w:type="spellStart"/>
            <w:r w:rsidRPr="000A7C59">
              <w:rPr>
                <w:rFonts w:ascii="Source Sans Pro" w:hAnsi="Source Sans Pro"/>
                <w:sz w:val="13"/>
                <w:szCs w:val="15"/>
              </w:rPr>
              <w:t>Metrobús</w:t>
            </w:r>
            <w:proofErr w:type="spellEnd"/>
            <w:r w:rsidRPr="000A7C59">
              <w:rPr>
                <w:rFonts w:ascii="Source Sans Pro" w:hAnsi="Source Sans Pro"/>
                <w:sz w:val="13"/>
                <w:szCs w:val="15"/>
              </w:rPr>
              <w:t>, a fin de brindar accesibilidad en el ingreso. Se incluye barandal de protección y la colocación e instalación de 56 luminarias para garantizar las condiciones de accesibilidad, seguridad y visibilidad en la circulación de los usuarios.</w:t>
            </w:r>
          </w:p>
          <w:p w:rsidR="0030188E" w:rsidRPr="000A7C59" w:rsidRDefault="0030188E" w:rsidP="006B25E9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3.-Instalación y colocación de seis elevadores con placas de señalización con sistema Braille, en las estaciones "</w:t>
            </w:r>
            <w:proofErr w:type="spellStart"/>
            <w:r w:rsidRPr="000A7C59">
              <w:rPr>
                <w:rFonts w:ascii="Source Sans Pro" w:hAnsi="Source Sans Pro"/>
                <w:sz w:val="13"/>
                <w:szCs w:val="15"/>
              </w:rPr>
              <w:t>Perisur</w:t>
            </w:r>
            <w:proofErr w:type="spellEnd"/>
            <w:r w:rsidRPr="000A7C59">
              <w:rPr>
                <w:rFonts w:ascii="Source Sans Pro" w:hAnsi="Source Sans Pro"/>
                <w:sz w:val="13"/>
                <w:szCs w:val="15"/>
              </w:rPr>
              <w:t xml:space="preserve">", "Villa Olímpica" y "Corregidora", las tres estaciones pertenecientes a la "Línea 1" de </w:t>
            </w:r>
            <w:proofErr w:type="spellStart"/>
            <w:r w:rsidRPr="000A7C59">
              <w:rPr>
                <w:rFonts w:ascii="Source Sans Pro" w:hAnsi="Source Sans Pro"/>
                <w:sz w:val="13"/>
                <w:szCs w:val="15"/>
              </w:rPr>
              <w:t>Metrobús</w:t>
            </w:r>
            <w:proofErr w:type="spellEnd"/>
            <w:r w:rsidRPr="000A7C59">
              <w:rPr>
                <w:rFonts w:ascii="Source Sans Pro" w:hAnsi="Source Sans Pro"/>
                <w:sz w:val="13"/>
                <w:szCs w:val="15"/>
              </w:rPr>
              <w:t>, favoreciendo la accesibilidad para el ingreso de personas con discapacidad a esas estaciones.</w:t>
            </w:r>
          </w:p>
          <w:p w:rsidR="0030188E" w:rsidRPr="000A7C59" w:rsidRDefault="0030188E" w:rsidP="006B25E9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 xml:space="preserve">4.- Construcción y adaptación de un sanitario accesible en la estación "Plaza de la República" de la "Línea 1" de </w:t>
            </w:r>
            <w:proofErr w:type="spellStart"/>
            <w:r w:rsidRPr="000A7C59">
              <w:rPr>
                <w:rFonts w:ascii="Source Sans Pro" w:hAnsi="Source Sans Pro"/>
                <w:sz w:val="13"/>
                <w:szCs w:val="15"/>
              </w:rPr>
              <w:t>Metrobús</w:t>
            </w:r>
            <w:proofErr w:type="spellEnd"/>
            <w:r w:rsidRPr="000A7C59">
              <w:rPr>
                <w:rFonts w:ascii="Source Sans Pro" w:hAnsi="Source Sans Pro"/>
                <w:sz w:val="13"/>
                <w:szCs w:val="15"/>
              </w:rPr>
              <w:t>, incluyendo todos los elementos y mobiliario de accesibilidad necesarios, instalaciones hidrosanitarias y eléctricas con forme a la normatividad vigente; para uso y aprovechamiento de las personas con discapacidad</w:t>
            </w:r>
            <w:r w:rsidRPr="000A7C59">
              <w:rPr>
                <w:rFonts w:ascii="Source Sans Pro" w:hAnsi="Source Sans Pro"/>
                <w:b/>
                <w:sz w:val="13"/>
                <w:szCs w:val="15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0188E" w:rsidRPr="000A7C59" w:rsidRDefault="0030188E" w:rsidP="00670DF4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1B6D37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270. 00</w:t>
            </w:r>
          </w:p>
          <w:p w:rsidR="0030188E" w:rsidRPr="000A7C59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</w:tcPr>
          <w:p w:rsidR="0030188E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ML. (COLOCACIÓN DE RUTA TÁCTIL (TIPO GUÍA) DE LOSETA DE PORCELANATO COLOR AMARILLO)</w:t>
            </w:r>
          </w:p>
        </w:tc>
        <w:tc>
          <w:tcPr>
            <w:tcW w:w="193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0188E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FOTRADIS 2020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(CIUDAD DE MÉXICO).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MUNICIPIO(S)/ LOCALIDAD(ES):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E9463D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hyperlink r:id="rId6" w:history="1">
              <w:r w:rsidR="0030188E" w:rsidRPr="000A7C59">
                <w:rPr>
                  <w:rStyle w:val="Hipervnculo"/>
                  <w:rFonts w:ascii="Source Sans Pro" w:hAnsi="Source Sans Pro"/>
                  <w:sz w:val="13"/>
                  <w:szCs w:val="15"/>
                </w:rPr>
                <w:t xml:space="preserve"> (003) COYOACÁN;</w:t>
              </w:r>
            </w:hyperlink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sz w:val="13"/>
                <w:szCs w:val="15"/>
              </w:rPr>
              <w:t>{</w:t>
            </w:r>
            <w:r w:rsidRPr="000A7C59">
              <w:rPr>
                <w:rFonts w:ascii="Source Sans Pro" w:hAnsi="Source Sans Pro"/>
                <w:sz w:val="13"/>
                <w:szCs w:val="15"/>
              </w:rPr>
              <w:t xml:space="preserve">lat:19.304298, lon: -99.186161} Instalación de 2 elevadores estación </w:t>
            </w:r>
            <w:proofErr w:type="spellStart"/>
            <w:r w:rsidRPr="000A7C59">
              <w:rPr>
                <w:rFonts w:ascii="Source Sans Pro" w:hAnsi="Source Sans Pro"/>
                <w:sz w:val="13"/>
                <w:szCs w:val="15"/>
              </w:rPr>
              <w:t>Perisur</w:t>
            </w:r>
            <w:proofErr w:type="spellEnd"/>
            <w:r w:rsidRPr="000A7C59">
              <w:rPr>
                <w:rFonts w:ascii="Source Sans Pro" w:hAnsi="Source Sans Pro"/>
                <w:sz w:val="13"/>
                <w:szCs w:val="15"/>
              </w:rPr>
              <w:t>.</w:t>
            </w:r>
          </w:p>
          <w:p w:rsidR="0030188E" w:rsidRPr="000A7C59" w:rsidRDefault="0030188E" w:rsidP="004366B9">
            <w:pPr>
              <w:rPr>
                <w:rFonts w:ascii="Source Sans Pro" w:hAnsi="Source Sans Pro"/>
                <w:b/>
                <w:sz w:val="13"/>
                <w:szCs w:val="15"/>
              </w:rPr>
            </w:pP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b/>
                <w:sz w:val="13"/>
                <w:szCs w:val="15"/>
              </w:rPr>
              <w:t xml:space="preserve"> </w:t>
            </w:r>
            <w:hyperlink r:id="rId7" w:history="1">
              <w:r w:rsidRPr="000A7C59">
                <w:rPr>
                  <w:rStyle w:val="Hipervnculo"/>
                  <w:rFonts w:ascii="Source Sans Pro" w:hAnsi="Source Sans Pro"/>
                  <w:sz w:val="13"/>
                  <w:szCs w:val="15"/>
                </w:rPr>
                <w:t>(005) GUSTAVO A. MADERO</w:t>
              </w:r>
            </w:hyperlink>
            <w:r w:rsidRPr="000A7C59">
              <w:rPr>
                <w:rFonts w:ascii="Source Sans Pro" w:hAnsi="Source Sans Pro"/>
                <w:sz w:val="13"/>
                <w:szCs w:val="15"/>
              </w:rPr>
              <w:t xml:space="preserve">; 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b/>
                <w:sz w:val="13"/>
                <w:szCs w:val="15"/>
              </w:rPr>
            </w:pP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b/>
                <w:sz w:val="13"/>
                <w:szCs w:val="15"/>
              </w:rPr>
              <w:t>A)</w:t>
            </w:r>
            <w:r w:rsidRPr="000A7C59">
              <w:rPr>
                <w:rFonts w:ascii="Source Sans Pro" w:hAnsi="Source Sans Pro"/>
                <w:sz w:val="13"/>
                <w:szCs w:val="15"/>
              </w:rPr>
              <w:t xml:space="preserve"> {lat:19.482419, lon: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-99.127785}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 xml:space="preserve">Rampa y ruta táctil </w:t>
            </w:r>
            <w:proofErr w:type="spellStart"/>
            <w:r w:rsidRPr="000A7C59">
              <w:rPr>
                <w:rFonts w:ascii="Source Sans Pro" w:hAnsi="Source Sans Pro"/>
                <w:sz w:val="13"/>
                <w:szCs w:val="15"/>
              </w:rPr>
              <w:t>Euzkaro</w:t>
            </w:r>
            <w:proofErr w:type="spellEnd"/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plataforma poniente.</w:t>
            </w:r>
            <w:r w:rsidRPr="000A7C59">
              <w:rPr>
                <w:rFonts w:ascii="Source Sans Pro" w:hAnsi="Source Sans Pro"/>
                <w:sz w:val="13"/>
                <w:szCs w:val="15"/>
              </w:rPr>
              <w:cr/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b/>
                <w:sz w:val="13"/>
                <w:szCs w:val="15"/>
              </w:rPr>
              <w:t>B)</w:t>
            </w:r>
            <w:r w:rsidRPr="000A7C59">
              <w:rPr>
                <w:rFonts w:ascii="Source Sans Pro" w:hAnsi="Source Sans Pro"/>
                <w:sz w:val="13"/>
                <w:szCs w:val="15"/>
              </w:rPr>
              <w:t xml:space="preserve"> {lat:19.482371, lon: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-99.127652}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 xml:space="preserve">Rampa y ruta táctil </w:t>
            </w:r>
            <w:proofErr w:type="spellStart"/>
            <w:r w:rsidRPr="000A7C59">
              <w:rPr>
                <w:rFonts w:ascii="Source Sans Pro" w:hAnsi="Source Sans Pro"/>
                <w:sz w:val="13"/>
                <w:szCs w:val="15"/>
              </w:rPr>
              <w:t>Euzkaro</w:t>
            </w:r>
            <w:proofErr w:type="spellEnd"/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plataforma oriente.</w:t>
            </w:r>
          </w:p>
          <w:p w:rsidR="0030188E" w:rsidRPr="000A7C59" w:rsidRDefault="0030188E" w:rsidP="004366B9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E9463D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hyperlink r:id="rId8" w:history="1">
              <w:r w:rsidR="0030188E" w:rsidRPr="000A7C59">
                <w:rPr>
                  <w:rStyle w:val="Hipervnculo"/>
                  <w:rFonts w:ascii="Source Sans Pro" w:hAnsi="Source Sans Pro"/>
                  <w:sz w:val="13"/>
                  <w:szCs w:val="15"/>
                </w:rPr>
                <w:t>(010) ÁLVARO OBREGÓN</w:t>
              </w:r>
            </w:hyperlink>
            <w:r w:rsidR="0030188E" w:rsidRPr="000A7C59">
              <w:rPr>
                <w:rFonts w:ascii="Source Sans Pro" w:hAnsi="Source Sans Pro"/>
                <w:sz w:val="13"/>
                <w:szCs w:val="15"/>
              </w:rPr>
              <w:t xml:space="preserve">; 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lat:19.34071, lon: -99.19005}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Adaptación de ruta táctil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estación Doctor Gálvez.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E9463D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hyperlink r:id="rId9" w:history="1">
              <w:r w:rsidR="0030188E" w:rsidRPr="000A7C59">
                <w:rPr>
                  <w:rStyle w:val="Hipervnculo"/>
                  <w:rFonts w:ascii="Source Sans Pro" w:hAnsi="Source Sans Pro"/>
                  <w:sz w:val="13"/>
                  <w:szCs w:val="15"/>
                </w:rPr>
                <w:t>(012) TLALPAN</w:t>
              </w:r>
            </w:hyperlink>
            <w:r w:rsidR="0030188E" w:rsidRPr="000A7C59">
              <w:rPr>
                <w:rFonts w:ascii="Source Sans Pro" w:hAnsi="Source Sans Pro"/>
                <w:sz w:val="13"/>
                <w:szCs w:val="15"/>
              </w:rPr>
              <w:t xml:space="preserve">; 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b/>
                <w:sz w:val="13"/>
                <w:szCs w:val="15"/>
              </w:rPr>
              <w:t xml:space="preserve">A) </w:t>
            </w:r>
            <w:r w:rsidRPr="000A7C59">
              <w:rPr>
                <w:rFonts w:ascii="Source Sans Pro" w:hAnsi="Source Sans Pro"/>
                <w:sz w:val="13"/>
                <w:szCs w:val="15"/>
              </w:rPr>
              <w:t>{lat:19.298975, lon: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-99.185516}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Instalación 2 elevadores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b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estación Villa Olímpica.</w:t>
            </w:r>
            <w:r w:rsidRPr="000A7C59">
              <w:rPr>
                <w:rFonts w:ascii="Source Sans Pro" w:hAnsi="Source Sans Pro"/>
                <w:b/>
                <w:sz w:val="13"/>
                <w:szCs w:val="15"/>
              </w:rPr>
              <w:cr/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b/>
                <w:sz w:val="13"/>
                <w:szCs w:val="15"/>
              </w:rPr>
              <w:t xml:space="preserve">B) </w:t>
            </w:r>
            <w:r w:rsidRPr="000A7C59">
              <w:rPr>
                <w:rFonts w:ascii="Source Sans Pro" w:hAnsi="Source Sans Pro"/>
                <w:sz w:val="13"/>
                <w:szCs w:val="15"/>
              </w:rPr>
              <w:t>{lat:19.294037, lon: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-99.181012}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Instalación 2 elevadores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estación Corregidora.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E9463D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hyperlink r:id="rId10" w:history="1">
              <w:r w:rsidR="0030188E" w:rsidRPr="000A7C59">
                <w:rPr>
                  <w:rStyle w:val="Hipervnculo"/>
                  <w:rFonts w:ascii="Source Sans Pro" w:hAnsi="Source Sans Pro"/>
                  <w:sz w:val="13"/>
                  <w:szCs w:val="15"/>
                </w:rPr>
                <w:t>(015) CUAUHTÉMOC;</w:t>
              </w:r>
            </w:hyperlink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{lat:19.436076, lon: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-99.157317}</w:t>
            </w:r>
          </w:p>
          <w:p w:rsidR="0030188E" w:rsidRPr="000A7C59" w:rsidRDefault="0030188E" w:rsidP="004366B9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Sanitario accesible estación</w:t>
            </w:r>
          </w:p>
          <w:p w:rsidR="0030188E" w:rsidRPr="000A7C59" w:rsidRDefault="0030188E" w:rsidP="00960261">
            <w:pPr>
              <w:jc w:val="center"/>
              <w:rPr>
                <w:rFonts w:ascii="Source Sans Pro" w:hAnsi="Source Sans Pro"/>
                <w:b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Plaza de la República</w:t>
            </w:r>
            <w:r w:rsidRPr="000A7C59">
              <w:rPr>
                <w:rFonts w:ascii="Source Sans Pro" w:hAnsi="Source Sans Pro"/>
                <w:b/>
                <w:sz w:val="13"/>
                <w:szCs w:val="15"/>
              </w:rPr>
              <w:t>.</w:t>
            </w:r>
            <w:r w:rsidR="00A42395" w:rsidRPr="00754683">
              <w:rPr>
                <w:rFonts w:ascii="Source Sans Pro" w:hAnsi="Source Sans Pro"/>
                <w:b/>
                <w:noProof/>
                <w:sz w:val="17"/>
                <w:szCs w:val="17"/>
                <w:lang w:eastAsia="es-MX"/>
              </w:rPr>
              <w:t xml:space="preserve"> </w:t>
            </w:r>
          </w:p>
        </w:tc>
        <w:tc>
          <w:tcPr>
            <w:tcW w:w="103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30188E" w:rsidRPr="000A7C59" w:rsidRDefault="0030188E" w:rsidP="00EB16BB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SECRETARÍA DE MOVILIDAD DE LA CIUDAD DE MÉXICO</w:t>
            </w:r>
          </w:p>
        </w:tc>
        <w:tc>
          <w:tcPr>
            <w:tcW w:w="1549" w:type="dxa"/>
            <w:vMerge w:val="restart"/>
            <w:tcBorders>
              <w:top w:val="single" w:sz="4" w:space="0" w:color="FFFFFF" w:themeColor="background1"/>
            </w:tcBorders>
          </w:tcPr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30188E" w:rsidP="006B25E9">
            <w:pPr>
              <w:jc w:val="center"/>
              <w:rPr>
                <w:sz w:val="13"/>
                <w:szCs w:val="15"/>
              </w:rPr>
            </w:pPr>
          </w:p>
          <w:p w:rsidR="0030188E" w:rsidRPr="000A7C59" w:rsidRDefault="00E9463D" w:rsidP="00E9121B">
            <w:pPr>
              <w:jc w:val="center"/>
              <w:rPr>
                <w:b/>
                <w:sz w:val="13"/>
                <w:szCs w:val="15"/>
              </w:rPr>
            </w:pPr>
            <w:hyperlink r:id="rId11" w:history="1">
              <w:r w:rsidR="0030188E" w:rsidRPr="000A7C59">
                <w:rPr>
                  <w:rStyle w:val="Hipervnculo"/>
                  <w:b/>
                  <w:sz w:val="13"/>
                  <w:szCs w:val="15"/>
                </w:rPr>
                <w:t>ASCH. S.A. DE C.V.</w:t>
              </w:r>
            </w:hyperlink>
          </w:p>
          <w:p w:rsidR="0030188E" w:rsidRPr="000A7C59" w:rsidRDefault="0030188E" w:rsidP="00E9121B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E9121B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E9121B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A través de la Acta de fallo</w:t>
            </w:r>
            <w:hyperlink r:id="rId12" w:history="1">
              <w:r w:rsidRPr="000A7C59">
                <w:rPr>
                  <w:rStyle w:val="Hipervnculo"/>
                  <w:rFonts w:ascii="Source Sans Pro" w:hAnsi="Source Sans Pro"/>
                  <w:sz w:val="13"/>
                  <w:szCs w:val="15"/>
                </w:rPr>
                <w:t xml:space="preserve"> LPN LO-909005989-E3-2020 (909005989-DGCOP-F-002-2020)</w:t>
              </w:r>
            </w:hyperlink>
          </w:p>
          <w:p w:rsidR="0030188E" w:rsidRPr="000A7C59" w:rsidRDefault="0030188E" w:rsidP="00E9121B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E9121B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Contrato de Obra Pública</w:t>
            </w:r>
            <w:hyperlink r:id="rId13" w:history="1">
              <w:r w:rsidRPr="000A7C59">
                <w:rPr>
                  <w:rStyle w:val="Hipervnculo"/>
                  <w:rFonts w:ascii="Source Sans Pro" w:hAnsi="Source Sans Pro"/>
                  <w:sz w:val="13"/>
                  <w:szCs w:val="15"/>
                </w:rPr>
                <w:t>. NO. DGCOP-LPN-F-4-202-20</w:t>
              </w:r>
            </w:hyperlink>
          </w:p>
        </w:tc>
        <w:tc>
          <w:tcPr>
            <w:tcW w:w="116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30188E" w:rsidRPr="000A7C59" w:rsidRDefault="0030188E" w:rsidP="005C394B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23,843,139.00</w:t>
            </w:r>
          </w:p>
        </w:tc>
        <w:tc>
          <w:tcPr>
            <w:tcW w:w="103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23,843.14</w:t>
            </w:r>
          </w:p>
        </w:tc>
        <w:tc>
          <w:tcPr>
            <w:tcW w:w="133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238,431.39</w:t>
            </w:r>
          </w:p>
        </w:tc>
        <w:tc>
          <w:tcPr>
            <w:tcW w:w="86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23,580,864.47</w:t>
            </w:r>
          </w:p>
        </w:tc>
        <w:tc>
          <w:tcPr>
            <w:tcW w:w="903" w:type="dxa"/>
            <w:vMerge w:val="restart"/>
            <w:tcBorders>
              <w:top w:val="single" w:sz="4" w:space="0" w:color="FFFFFF" w:themeColor="background1"/>
            </w:tcBorders>
          </w:tcPr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6B25E9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Default="0030188E" w:rsidP="00EB16BB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1B6D37" w:rsidRDefault="001B6D37" w:rsidP="00EB16BB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1B6D37" w:rsidRDefault="001B6D37" w:rsidP="00EB16BB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1B6D37" w:rsidRPr="000A7C59" w:rsidRDefault="001B6D37" w:rsidP="00EB16BB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A04F7F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A04F7F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F44ACC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>
              <w:rPr>
                <w:rFonts w:ascii="Source Sans Pro" w:hAnsi="Source Sans Pro"/>
                <w:sz w:val="13"/>
                <w:szCs w:val="15"/>
              </w:rPr>
              <w:t>51</w:t>
            </w:r>
            <w:r w:rsidR="0030188E" w:rsidRPr="000A7C59">
              <w:rPr>
                <w:rFonts w:ascii="Source Sans Pro" w:hAnsi="Source Sans Pro"/>
                <w:sz w:val="13"/>
                <w:szCs w:val="15"/>
              </w:rPr>
              <w:t>%</w:t>
            </w:r>
          </w:p>
        </w:tc>
        <w:tc>
          <w:tcPr>
            <w:tcW w:w="1032" w:type="dxa"/>
            <w:vMerge w:val="restart"/>
            <w:tcBorders>
              <w:top w:val="single" w:sz="4" w:space="0" w:color="FFFFFF" w:themeColor="background1"/>
            </w:tcBorders>
          </w:tcPr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6B25E9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EB16BB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1B6D37" w:rsidRDefault="001B6D37" w:rsidP="001B6D37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1B6D37" w:rsidRDefault="001B6D37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1B6D37" w:rsidRPr="000A7C59" w:rsidRDefault="001B6D37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14834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5C394B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A42395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754683">
              <w:rPr>
                <w:rFonts w:ascii="Source Sans Pro" w:hAnsi="Source Sans Pro"/>
                <w:b/>
                <w:noProof/>
                <w:sz w:val="17"/>
                <w:szCs w:val="17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56CEB264" wp14:editId="529E7860">
                      <wp:simplePos x="0" y="0"/>
                      <wp:positionH relativeFrom="column">
                        <wp:posOffset>-7449920</wp:posOffset>
                      </wp:positionH>
                      <wp:positionV relativeFrom="paragraph">
                        <wp:posOffset>2445586</wp:posOffset>
                      </wp:positionV>
                      <wp:extent cx="10115550" cy="1127125"/>
                      <wp:effectExtent l="0" t="0" r="19050" b="15875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0" cy="1127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395" w:rsidRPr="003D794D" w:rsidRDefault="00A42395" w:rsidP="00A42395">
                                  <w:pPr>
                                    <w:spacing w:line="240" w:lineRule="auto"/>
                                    <w:rPr>
                                      <w:rStyle w:val="nfasis"/>
                                      <w:rFonts w:ascii="Helvetica" w:hAnsi="Helvetica" w:cs="Helvetica"/>
                                      <w:color w:val="006600"/>
                                      <w:sz w:val="6"/>
                                      <w:szCs w:val="27"/>
                                      <w:shd w:val="clear" w:color="auto" w:fill="FFFFF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794D">
                                    <w:rPr>
                                      <w:rStyle w:val="nfasis"/>
                                      <w:rFonts w:ascii="Helvetica" w:hAnsi="Helvetica" w:cs="Helvetica"/>
                                      <w:color w:val="006600"/>
                                      <w:szCs w:val="27"/>
                                      <w:shd w:val="clear" w:color="auto" w:fill="FFFFF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“Este programa es público ajeno a cualquier partido político. Queda prohibido el uso para fines distintos a los establecidos en el programa”.</w:t>
                                  </w:r>
                                </w:p>
                                <w:p w:rsidR="00A42395" w:rsidRPr="003D794D" w:rsidRDefault="00A42395" w:rsidP="00A42395">
                                  <w:pPr>
                                    <w:spacing w:line="240" w:lineRule="auto"/>
                                    <w:rPr>
                                      <w:rStyle w:val="nfasis"/>
                                      <w:rFonts w:ascii="Helvetica" w:hAnsi="Helvetica" w:cs="Helvetica"/>
                                      <w:color w:val="006600"/>
                                      <w:sz w:val="6"/>
                                      <w:szCs w:val="27"/>
                                      <w:shd w:val="clear" w:color="auto" w:fill="FFFFF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A42395" w:rsidRPr="003D794D" w:rsidRDefault="00A42395" w:rsidP="00A42395">
                                  <w:pPr>
                                    <w:spacing w:line="240" w:lineRule="auto"/>
                                    <w:rPr>
                                      <w:rStyle w:val="nfasis"/>
                                      <w:rFonts w:ascii="Helvetica" w:hAnsi="Helvetica" w:cs="Helvetica"/>
                                      <w:color w:val="006600"/>
                                      <w:sz w:val="6"/>
                                      <w:szCs w:val="27"/>
                                      <w:shd w:val="clear" w:color="auto" w:fill="FFFFF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A42395" w:rsidRPr="003D794D" w:rsidRDefault="00A42395" w:rsidP="00A42395">
                                  <w:pPr>
                                    <w:spacing w:line="240" w:lineRule="auto"/>
                                    <w:jc w:val="right"/>
                                    <w:rPr>
                                      <w:rStyle w:val="nfasis"/>
                                      <w:rFonts w:ascii="Helvetica" w:hAnsi="Helvetica" w:cs="Helvetica"/>
                                      <w:color w:val="006600"/>
                                      <w:szCs w:val="27"/>
                                      <w:shd w:val="clear" w:color="auto" w:fill="FFFFF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794D">
                                    <w:rPr>
                                      <w:color w:val="006600"/>
                                      <w:sz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"</w:t>
                                  </w:r>
                                  <w:r w:rsidRPr="003D794D">
                                    <w:rPr>
                                      <w:rStyle w:val="nfasis"/>
                                      <w:rFonts w:ascii="Helvetica" w:hAnsi="Helvetica" w:cs="Helvetica"/>
                                      <w:color w:val="006600"/>
                                      <w:szCs w:val="27"/>
                                      <w:shd w:val="clear" w:color="auto" w:fill="FFFFF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Esta obra fue realizada con recursos públicos federales"</w:t>
                                  </w:r>
                                </w:p>
                                <w:p w:rsidR="00A42395" w:rsidRPr="003D794D" w:rsidRDefault="00A42395" w:rsidP="00A42395">
                                  <w:pPr>
                                    <w:jc w:val="right"/>
                                    <w:rPr>
                                      <w:rStyle w:val="nfasis"/>
                                      <w:rFonts w:ascii="Helvetica" w:hAnsi="Helvetica" w:cs="Helvetica"/>
                                      <w:color w:val="006600"/>
                                      <w:szCs w:val="27"/>
                                      <w:shd w:val="clear" w:color="auto" w:fill="FFFFF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EB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86.6pt;margin-top:192.55pt;width:796.5pt;height:88.7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" strokecolor="white [3212]">
                      <v:textbox>
                        <w:txbxContent>
                          <w:p w:rsidR="00A42395" w:rsidRPr="003D794D" w:rsidRDefault="00A42395" w:rsidP="00A42395">
                            <w:pPr>
                              <w:spacing w:line="240" w:lineRule="auto"/>
                              <w:rPr>
                                <w:rStyle w:val="nfasis"/>
                                <w:rFonts w:ascii="Helvetica" w:hAnsi="Helvetica" w:cs="Helvetica"/>
                                <w:color w:val="006600"/>
                                <w:sz w:val="6"/>
                                <w:szCs w:val="27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94D">
                              <w:rPr>
                                <w:rStyle w:val="nfasis"/>
                                <w:rFonts w:ascii="Helvetica" w:hAnsi="Helvetica" w:cs="Helvetica"/>
                                <w:color w:val="006600"/>
                                <w:szCs w:val="27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“Este programa es público ajeno a cualquier partido político. Queda prohibido el uso para fines distintos a los establecidos en el programa”.</w:t>
                            </w:r>
                          </w:p>
                          <w:p w:rsidR="00A42395" w:rsidRPr="003D794D" w:rsidRDefault="00A42395" w:rsidP="00A42395">
                            <w:pPr>
                              <w:spacing w:line="240" w:lineRule="auto"/>
                              <w:rPr>
                                <w:rStyle w:val="nfasis"/>
                                <w:rFonts w:ascii="Helvetica" w:hAnsi="Helvetica" w:cs="Helvetica"/>
                                <w:color w:val="006600"/>
                                <w:sz w:val="6"/>
                                <w:szCs w:val="27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2395" w:rsidRPr="003D794D" w:rsidRDefault="00A42395" w:rsidP="00A42395">
                            <w:pPr>
                              <w:spacing w:line="240" w:lineRule="auto"/>
                              <w:rPr>
                                <w:rStyle w:val="nfasis"/>
                                <w:rFonts w:ascii="Helvetica" w:hAnsi="Helvetica" w:cs="Helvetica"/>
                                <w:color w:val="006600"/>
                                <w:sz w:val="6"/>
                                <w:szCs w:val="27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2395" w:rsidRPr="003D794D" w:rsidRDefault="00A42395" w:rsidP="00A42395">
                            <w:pPr>
                              <w:spacing w:line="240" w:lineRule="auto"/>
                              <w:jc w:val="right"/>
                              <w:rPr>
                                <w:rStyle w:val="nfasis"/>
                                <w:rFonts w:ascii="Helvetica" w:hAnsi="Helvetica" w:cs="Helvetica"/>
                                <w:color w:val="006600"/>
                                <w:szCs w:val="27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94D">
                              <w:rPr>
                                <w:color w:val="0066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 w:rsidRPr="003D794D">
                              <w:rPr>
                                <w:rStyle w:val="nfasis"/>
                                <w:rFonts w:ascii="Helvetica" w:hAnsi="Helvetica" w:cs="Helvetica"/>
                                <w:color w:val="006600"/>
                                <w:szCs w:val="27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 obra fue realizada con recursos públicos federales"</w:t>
                            </w:r>
                          </w:p>
                          <w:p w:rsidR="00A42395" w:rsidRPr="003D794D" w:rsidRDefault="00A42395" w:rsidP="00A42395">
                            <w:pPr>
                              <w:jc w:val="right"/>
                              <w:rPr>
                                <w:rStyle w:val="nfasis"/>
                                <w:rFonts w:ascii="Helvetica" w:hAnsi="Helvetica" w:cs="Helvetica"/>
                                <w:color w:val="006600"/>
                                <w:szCs w:val="27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ACC">
              <w:rPr>
                <w:rFonts w:ascii="Source Sans Pro" w:hAnsi="Source Sans Pro"/>
                <w:sz w:val="13"/>
                <w:szCs w:val="15"/>
              </w:rPr>
              <w:t>50.0</w:t>
            </w:r>
            <w:r w:rsidR="0030188E" w:rsidRPr="000A7C59">
              <w:rPr>
                <w:rFonts w:ascii="Source Sans Pro" w:hAnsi="Source Sans Pro"/>
                <w:sz w:val="13"/>
                <w:szCs w:val="15"/>
              </w:rPr>
              <w:t>%</w:t>
            </w:r>
          </w:p>
        </w:tc>
        <w:tc>
          <w:tcPr>
            <w:tcW w:w="1741" w:type="dxa"/>
            <w:vMerge w:val="restart"/>
            <w:tcBorders>
              <w:top w:val="single" w:sz="4" w:space="0" w:color="FFFFFF" w:themeColor="background1"/>
            </w:tcBorders>
          </w:tcPr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1B6D37">
            <w:pPr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1B6D37" w:rsidRDefault="001B6D37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1B6D37" w:rsidRDefault="001B6D37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1B6D37" w:rsidRPr="000A7C59" w:rsidRDefault="001B6D37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6B25E9">
            <w:pPr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6B25E9">
            <w:pPr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  <w:t>$ 20</w:t>
            </w:r>
            <w:r w:rsidRPr="000A7C59">
              <w:rPr>
                <w:rFonts w:ascii="Source Sans Pro" w:hAnsi="Source Sans Pro" w:cs="Arial"/>
                <w:bCs/>
                <w:color w:val="BEBE00"/>
                <w:sz w:val="13"/>
                <w:szCs w:val="15"/>
              </w:rPr>
              <w:t>,</w:t>
            </w:r>
            <w:r w:rsidRPr="000A7C59">
              <w:rPr>
                <w:rFonts w:ascii="Source Sans Pro" w:hAnsi="Source Sans Pro" w:cs="Arial"/>
                <w:bCs/>
                <w:color w:val="343400"/>
                <w:sz w:val="13"/>
                <w:szCs w:val="15"/>
              </w:rPr>
              <w:t>989</w:t>
            </w:r>
            <w:r w:rsidRPr="000A7C59">
              <w:rPr>
                <w:rFonts w:ascii="Source Sans Pro" w:hAnsi="Source Sans Pro" w:cs="Arial"/>
                <w:bCs/>
                <w:color w:val="A3A300"/>
                <w:sz w:val="13"/>
                <w:szCs w:val="15"/>
              </w:rPr>
              <w:t>,</w:t>
            </w:r>
            <w:r w:rsidRPr="000A7C59">
              <w:rPr>
                <w:rFonts w:ascii="Source Sans Pro" w:hAnsi="Source Sans Pro" w:cs="Arial"/>
                <w:bCs/>
                <w:color w:val="3C3C00"/>
                <w:sz w:val="13"/>
                <w:szCs w:val="15"/>
              </w:rPr>
              <w:t>767</w:t>
            </w:r>
            <w:r w:rsidRPr="000A7C59">
              <w:rPr>
                <w:rFonts w:ascii="Source Sans Pro" w:hAnsi="Source Sans Pro" w:cs="Arial"/>
                <w:bCs/>
                <w:color w:val="A3A300"/>
                <w:sz w:val="13"/>
                <w:szCs w:val="15"/>
              </w:rPr>
              <w:t>.</w:t>
            </w:r>
            <w:r w:rsidRPr="000A7C59">
              <w:rPr>
                <w:rFonts w:ascii="Source Sans Pro" w:hAnsi="Source Sans Pro" w:cs="Arial"/>
                <w:bCs/>
                <w:color w:val="464600"/>
                <w:sz w:val="13"/>
                <w:szCs w:val="15"/>
              </w:rPr>
              <w:t>89</w:t>
            </w:r>
          </w:p>
        </w:tc>
        <w:tc>
          <w:tcPr>
            <w:tcW w:w="1297" w:type="dxa"/>
            <w:vMerge w:val="restart"/>
            <w:tcBorders>
              <w:top w:val="single" w:sz="4" w:space="0" w:color="FFFFFF" w:themeColor="background1"/>
            </w:tcBorders>
          </w:tcPr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1B6D37" w:rsidRDefault="001B6D37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1B6D37" w:rsidRDefault="001B6D37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1B6D37" w:rsidRPr="000A7C59" w:rsidRDefault="001B6D37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14834">
            <w:pPr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F668B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5C394B">
            <w:pPr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  <w:p w:rsidR="0030188E" w:rsidRPr="000A7C59" w:rsidRDefault="0030188E" w:rsidP="001B6D37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  <w:r w:rsidRPr="000A7C59"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  <w:t>$ 2, 591, 096.58</w:t>
            </w:r>
          </w:p>
        </w:tc>
      </w:tr>
      <w:tr w:rsidR="0030188E" w:rsidRPr="003A31BC" w:rsidTr="001B6D37">
        <w:trPr>
          <w:gridAfter w:val="1"/>
          <w:wAfter w:w="19" w:type="dxa"/>
          <w:trHeight w:val="668"/>
        </w:trPr>
        <w:tc>
          <w:tcPr>
            <w:tcW w:w="625" w:type="dxa"/>
            <w:vMerge/>
            <w:vAlign w:val="center"/>
          </w:tcPr>
          <w:p w:rsidR="0030188E" w:rsidRDefault="0030188E" w:rsidP="0030188E">
            <w:pPr>
              <w:jc w:val="center"/>
            </w:pPr>
          </w:p>
        </w:tc>
        <w:tc>
          <w:tcPr>
            <w:tcW w:w="2633" w:type="dxa"/>
            <w:vMerge/>
            <w:vAlign w:val="center"/>
          </w:tcPr>
          <w:p w:rsidR="0030188E" w:rsidRPr="000A7C59" w:rsidRDefault="0030188E" w:rsidP="0030188E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0188E" w:rsidRPr="000A7C59" w:rsidRDefault="0030188E" w:rsidP="001B6D37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133.00</w:t>
            </w: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417" w:type="dxa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ML (COLOCACIÓN DE RUTA TÁCTIL (TIPO BOTÓN) DE LOSETA DE PORCELANATO COLOR AMARILLO)</w:t>
            </w:r>
          </w:p>
        </w:tc>
        <w:tc>
          <w:tcPr>
            <w:tcW w:w="193" w:type="dxa"/>
            <w:vMerge/>
            <w:tcBorders>
              <w:right w:val="single" w:sz="4" w:space="0" w:color="FFFFFF" w:themeColor="background1"/>
            </w:tcBorders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63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549" w:type="dxa"/>
            <w:vMerge/>
          </w:tcPr>
          <w:p w:rsidR="0030188E" w:rsidRPr="000A7C59" w:rsidRDefault="0030188E" w:rsidP="0030188E">
            <w:pPr>
              <w:jc w:val="center"/>
              <w:rPr>
                <w:sz w:val="13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333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860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03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741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  <w:tc>
          <w:tcPr>
            <w:tcW w:w="1297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</w:tr>
      <w:tr w:rsidR="0030188E" w:rsidRPr="003A31BC" w:rsidTr="001B6D37">
        <w:trPr>
          <w:gridAfter w:val="1"/>
          <w:wAfter w:w="19" w:type="dxa"/>
          <w:trHeight w:val="723"/>
        </w:trPr>
        <w:tc>
          <w:tcPr>
            <w:tcW w:w="625" w:type="dxa"/>
            <w:vMerge/>
            <w:vAlign w:val="center"/>
          </w:tcPr>
          <w:p w:rsidR="0030188E" w:rsidRDefault="0030188E" w:rsidP="0030188E">
            <w:pPr>
              <w:jc w:val="center"/>
            </w:pPr>
          </w:p>
        </w:tc>
        <w:tc>
          <w:tcPr>
            <w:tcW w:w="2633" w:type="dxa"/>
            <w:vMerge/>
            <w:vAlign w:val="center"/>
          </w:tcPr>
          <w:p w:rsidR="0030188E" w:rsidRPr="000A7C59" w:rsidRDefault="0030188E" w:rsidP="0030188E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19.00</w:t>
            </w: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417" w:type="dxa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PZA (COLOCACIÓN DE PLACA DE SEÑALIZACIÓN CON SISTEMA BRAILLE DE ACERO INOXIDABLE)</w:t>
            </w:r>
          </w:p>
        </w:tc>
        <w:tc>
          <w:tcPr>
            <w:tcW w:w="193" w:type="dxa"/>
            <w:vMerge/>
            <w:tcBorders>
              <w:right w:val="single" w:sz="4" w:space="0" w:color="FFFFFF" w:themeColor="background1"/>
            </w:tcBorders>
          </w:tcPr>
          <w:p w:rsidR="0030188E" w:rsidRPr="000A7C59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63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549" w:type="dxa"/>
            <w:vMerge/>
          </w:tcPr>
          <w:p w:rsidR="0030188E" w:rsidRPr="000A7C59" w:rsidRDefault="0030188E" w:rsidP="0030188E">
            <w:pPr>
              <w:jc w:val="center"/>
              <w:rPr>
                <w:sz w:val="13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333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860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03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741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  <w:tc>
          <w:tcPr>
            <w:tcW w:w="1297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</w:tr>
      <w:tr w:rsidR="0030188E" w:rsidRPr="003A31BC" w:rsidTr="001B6D37">
        <w:trPr>
          <w:gridAfter w:val="1"/>
          <w:wAfter w:w="19" w:type="dxa"/>
          <w:trHeight w:val="755"/>
        </w:trPr>
        <w:tc>
          <w:tcPr>
            <w:tcW w:w="625" w:type="dxa"/>
            <w:vMerge/>
            <w:vAlign w:val="center"/>
          </w:tcPr>
          <w:p w:rsidR="0030188E" w:rsidRDefault="0030188E" w:rsidP="0030188E">
            <w:pPr>
              <w:jc w:val="center"/>
            </w:pPr>
          </w:p>
        </w:tc>
        <w:tc>
          <w:tcPr>
            <w:tcW w:w="2633" w:type="dxa"/>
            <w:vMerge/>
            <w:vAlign w:val="center"/>
          </w:tcPr>
          <w:p w:rsidR="0030188E" w:rsidRPr="000A7C59" w:rsidRDefault="0030188E" w:rsidP="0030188E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654.00</w:t>
            </w: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417" w:type="dxa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M2(CONSTRUCCIÓN DE RAMPA DE ACCESO A ESTACIÓN CON PENDIENTE DE 6 A 8% CON BARANDAL)</w:t>
            </w:r>
          </w:p>
        </w:tc>
        <w:tc>
          <w:tcPr>
            <w:tcW w:w="193" w:type="dxa"/>
            <w:vMerge/>
            <w:tcBorders>
              <w:right w:val="single" w:sz="4" w:space="0" w:color="FFFFFF" w:themeColor="background1"/>
            </w:tcBorders>
          </w:tcPr>
          <w:p w:rsidR="0030188E" w:rsidRPr="000A7C59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63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549" w:type="dxa"/>
            <w:vMerge/>
          </w:tcPr>
          <w:p w:rsidR="0030188E" w:rsidRPr="000A7C59" w:rsidRDefault="0030188E" w:rsidP="0030188E">
            <w:pPr>
              <w:jc w:val="center"/>
              <w:rPr>
                <w:sz w:val="13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333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860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03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741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  <w:tc>
          <w:tcPr>
            <w:tcW w:w="1297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</w:tr>
      <w:tr w:rsidR="0030188E" w:rsidRPr="003A31BC" w:rsidTr="001B6D37">
        <w:trPr>
          <w:gridAfter w:val="1"/>
          <w:wAfter w:w="19" w:type="dxa"/>
          <w:trHeight w:val="458"/>
        </w:trPr>
        <w:tc>
          <w:tcPr>
            <w:tcW w:w="625" w:type="dxa"/>
            <w:vMerge/>
            <w:vAlign w:val="center"/>
          </w:tcPr>
          <w:p w:rsidR="0030188E" w:rsidRDefault="0030188E" w:rsidP="0030188E">
            <w:pPr>
              <w:jc w:val="center"/>
            </w:pPr>
          </w:p>
        </w:tc>
        <w:tc>
          <w:tcPr>
            <w:tcW w:w="2633" w:type="dxa"/>
            <w:vMerge/>
            <w:vAlign w:val="center"/>
          </w:tcPr>
          <w:p w:rsidR="0030188E" w:rsidRPr="000A7C59" w:rsidRDefault="0030188E" w:rsidP="0030188E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56.00</w:t>
            </w: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417" w:type="dxa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PZA (INSTALACIÓN DE LUMINARIAS PARA RAMPAS DE ACCESO)</w:t>
            </w:r>
          </w:p>
        </w:tc>
        <w:tc>
          <w:tcPr>
            <w:tcW w:w="193" w:type="dxa"/>
            <w:vMerge/>
            <w:tcBorders>
              <w:right w:val="single" w:sz="4" w:space="0" w:color="FFFFFF" w:themeColor="background1"/>
            </w:tcBorders>
          </w:tcPr>
          <w:p w:rsidR="0030188E" w:rsidRPr="000A7C59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63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549" w:type="dxa"/>
            <w:vMerge/>
          </w:tcPr>
          <w:p w:rsidR="0030188E" w:rsidRPr="000A7C59" w:rsidRDefault="0030188E" w:rsidP="0030188E">
            <w:pPr>
              <w:jc w:val="center"/>
              <w:rPr>
                <w:sz w:val="13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333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860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03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741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  <w:tc>
          <w:tcPr>
            <w:tcW w:w="1297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</w:tr>
      <w:tr w:rsidR="0030188E" w:rsidRPr="003A31BC" w:rsidTr="001B6D37">
        <w:trPr>
          <w:gridAfter w:val="1"/>
          <w:wAfter w:w="19" w:type="dxa"/>
          <w:trHeight w:val="596"/>
        </w:trPr>
        <w:tc>
          <w:tcPr>
            <w:tcW w:w="625" w:type="dxa"/>
            <w:vMerge/>
            <w:vAlign w:val="center"/>
          </w:tcPr>
          <w:p w:rsidR="0030188E" w:rsidRDefault="0030188E" w:rsidP="0030188E">
            <w:pPr>
              <w:jc w:val="center"/>
            </w:pPr>
          </w:p>
        </w:tc>
        <w:tc>
          <w:tcPr>
            <w:tcW w:w="2633" w:type="dxa"/>
            <w:vMerge/>
            <w:vAlign w:val="center"/>
          </w:tcPr>
          <w:p w:rsidR="0030188E" w:rsidRPr="000A7C59" w:rsidRDefault="0030188E" w:rsidP="0030188E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6.00</w:t>
            </w: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417" w:type="dxa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PZA (INSTALACIÓN Y COLOCACIÓN DE ELEVADOR (INCLUYE TODOS LOS COMPONENTES NECESARIOS))</w:t>
            </w:r>
          </w:p>
        </w:tc>
        <w:tc>
          <w:tcPr>
            <w:tcW w:w="193" w:type="dxa"/>
            <w:vMerge/>
            <w:tcBorders>
              <w:right w:val="single" w:sz="4" w:space="0" w:color="FFFFFF" w:themeColor="background1"/>
            </w:tcBorders>
          </w:tcPr>
          <w:p w:rsidR="0030188E" w:rsidRPr="000A7C59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63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549" w:type="dxa"/>
            <w:vMerge/>
          </w:tcPr>
          <w:p w:rsidR="0030188E" w:rsidRPr="000A7C59" w:rsidRDefault="0030188E" w:rsidP="0030188E">
            <w:pPr>
              <w:jc w:val="center"/>
              <w:rPr>
                <w:sz w:val="13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333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860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03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741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  <w:tc>
          <w:tcPr>
            <w:tcW w:w="1297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</w:tr>
      <w:tr w:rsidR="0030188E" w:rsidRPr="003A31BC" w:rsidTr="001B6D37">
        <w:trPr>
          <w:gridAfter w:val="1"/>
          <w:wAfter w:w="19" w:type="dxa"/>
          <w:trHeight w:val="957"/>
        </w:trPr>
        <w:tc>
          <w:tcPr>
            <w:tcW w:w="625" w:type="dxa"/>
            <w:vMerge/>
            <w:vAlign w:val="center"/>
          </w:tcPr>
          <w:p w:rsidR="0030188E" w:rsidRDefault="0030188E" w:rsidP="0030188E">
            <w:pPr>
              <w:jc w:val="center"/>
            </w:pPr>
          </w:p>
        </w:tc>
        <w:tc>
          <w:tcPr>
            <w:tcW w:w="2633" w:type="dxa"/>
            <w:vMerge/>
            <w:vAlign w:val="center"/>
          </w:tcPr>
          <w:p w:rsidR="0030188E" w:rsidRPr="000A7C59" w:rsidRDefault="0030188E" w:rsidP="0030188E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15.20</w:t>
            </w:r>
          </w:p>
          <w:p w:rsidR="0030188E" w:rsidRPr="000A7C59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417" w:type="dxa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M2(COSTRUCCIÓN DE SANITARIO PARA PERSONAS CON DISCAPACIDAD (INCLUYE INSTALACIONES)</w:t>
            </w:r>
          </w:p>
        </w:tc>
        <w:tc>
          <w:tcPr>
            <w:tcW w:w="193" w:type="dxa"/>
            <w:vMerge/>
            <w:tcBorders>
              <w:right w:val="single" w:sz="4" w:space="0" w:color="FFFFFF" w:themeColor="background1"/>
            </w:tcBorders>
          </w:tcPr>
          <w:p w:rsidR="0030188E" w:rsidRPr="000A7C59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63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549" w:type="dxa"/>
            <w:vMerge/>
          </w:tcPr>
          <w:p w:rsidR="0030188E" w:rsidRPr="000A7C59" w:rsidRDefault="0030188E" w:rsidP="0030188E">
            <w:pPr>
              <w:jc w:val="center"/>
              <w:rPr>
                <w:sz w:val="13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333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860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03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741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  <w:tc>
          <w:tcPr>
            <w:tcW w:w="1297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</w:tr>
      <w:tr w:rsidR="0030188E" w:rsidRPr="003A31BC" w:rsidTr="001B6D37">
        <w:trPr>
          <w:gridAfter w:val="1"/>
          <w:wAfter w:w="19" w:type="dxa"/>
          <w:trHeight w:val="2659"/>
        </w:trPr>
        <w:tc>
          <w:tcPr>
            <w:tcW w:w="625" w:type="dxa"/>
            <w:vMerge/>
            <w:vAlign w:val="center"/>
          </w:tcPr>
          <w:p w:rsidR="0030188E" w:rsidRDefault="0030188E" w:rsidP="0030188E">
            <w:pPr>
              <w:jc w:val="center"/>
            </w:pPr>
          </w:p>
        </w:tc>
        <w:tc>
          <w:tcPr>
            <w:tcW w:w="2633" w:type="dxa"/>
            <w:vMerge/>
            <w:vAlign w:val="center"/>
          </w:tcPr>
          <w:p w:rsidR="0030188E" w:rsidRPr="000A7C59" w:rsidRDefault="0030188E" w:rsidP="0030188E">
            <w:pPr>
              <w:jc w:val="both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96" w:type="dxa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16.00</w:t>
            </w:r>
          </w:p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417" w:type="dxa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  <w:r w:rsidRPr="000A7C59">
              <w:rPr>
                <w:rFonts w:ascii="Source Sans Pro" w:hAnsi="Source Sans Pro"/>
                <w:sz w:val="13"/>
                <w:szCs w:val="15"/>
              </w:rPr>
              <w:t>PZA(COLOCACIÓN DE BOLARDOS DE 90 CM DE ALTURA LIBRE EN CRUCE PEATONAL)</w:t>
            </w:r>
          </w:p>
        </w:tc>
        <w:tc>
          <w:tcPr>
            <w:tcW w:w="193" w:type="dxa"/>
            <w:vMerge/>
            <w:tcBorders>
              <w:right w:val="single" w:sz="4" w:space="0" w:color="FFFFFF" w:themeColor="background1"/>
            </w:tcBorders>
          </w:tcPr>
          <w:p w:rsidR="0030188E" w:rsidRPr="000A7C59" w:rsidRDefault="0030188E" w:rsidP="0030188E">
            <w:pPr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63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549" w:type="dxa"/>
            <w:vMerge/>
          </w:tcPr>
          <w:p w:rsidR="0030188E" w:rsidRPr="000A7C59" w:rsidRDefault="0030188E" w:rsidP="0030188E">
            <w:pPr>
              <w:jc w:val="center"/>
              <w:rPr>
                <w:sz w:val="13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333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860" w:type="dxa"/>
            <w:vMerge/>
            <w:vAlign w:val="center"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903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032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/>
                <w:sz w:val="13"/>
                <w:szCs w:val="15"/>
              </w:rPr>
            </w:pPr>
          </w:p>
        </w:tc>
        <w:tc>
          <w:tcPr>
            <w:tcW w:w="1741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  <w:tc>
          <w:tcPr>
            <w:tcW w:w="1297" w:type="dxa"/>
            <w:vMerge/>
          </w:tcPr>
          <w:p w:rsidR="0030188E" w:rsidRPr="000A7C59" w:rsidRDefault="0030188E" w:rsidP="0030188E">
            <w:pPr>
              <w:jc w:val="center"/>
              <w:rPr>
                <w:rFonts w:ascii="Source Sans Pro" w:hAnsi="Source Sans Pro" w:cs="Arial"/>
                <w:bCs/>
                <w:color w:val="353500"/>
                <w:sz w:val="13"/>
                <w:szCs w:val="15"/>
              </w:rPr>
            </w:pPr>
          </w:p>
        </w:tc>
      </w:tr>
    </w:tbl>
    <w:p w:rsidR="007F1AC2" w:rsidRPr="005C394B" w:rsidRDefault="007F1AC2" w:rsidP="007F1AC2">
      <w:pPr>
        <w:spacing w:after="0" w:line="240" w:lineRule="auto"/>
        <w:ind w:left="-426"/>
        <w:rPr>
          <w:rFonts w:ascii="Source Sans Pro" w:hAnsi="Source Sans Pro"/>
          <w:sz w:val="12"/>
          <w:szCs w:val="12"/>
        </w:rPr>
      </w:pPr>
      <w:r w:rsidRPr="005C394B">
        <w:rPr>
          <w:rFonts w:ascii="Source Sans Pro" w:hAnsi="Source Sans Pro"/>
          <w:sz w:val="12"/>
          <w:szCs w:val="12"/>
        </w:rPr>
        <w:t>1_/ Las sumas parciales pueden no coincidir debido al redondeo.</w:t>
      </w:r>
    </w:p>
    <w:p w:rsidR="007F1AC2" w:rsidRPr="005C394B" w:rsidRDefault="007F1AC2" w:rsidP="007F1AC2">
      <w:pPr>
        <w:spacing w:after="0" w:line="240" w:lineRule="auto"/>
        <w:ind w:left="-426"/>
        <w:jc w:val="both"/>
        <w:rPr>
          <w:rFonts w:ascii="Source Sans Pro" w:hAnsi="Source Sans Pro"/>
          <w:sz w:val="12"/>
          <w:szCs w:val="12"/>
        </w:rPr>
      </w:pPr>
      <w:r w:rsidRPr="005C394B">
        <w:rPr>
          <w:rFonts w:ascii="Source Sans Pro" w:hAnsi="Source Sans Pro"/>
          <w:sz w:val="12"/>
          <w:szCs w:val="12"/>
        </w:rPr>
        <w:t xml:space="preserve">* De acuerdo al oficio </w:t>
      </w:r>
      <w:hyperlink r:id="rId14" w:history="1">
        <w:r w:rsidRPr="000C1DC1">
          <w:rPr>
            <w:rStyle w:val="Hipervnculo"/>
            <w:rFonts w:ascii="Source Sans Pro" w:hAnsi="Source Sans Pro"/>
            <w:sz w:val="12"/>
            <w:szCs w:val="12"/>
          </w:rPr>
          <w:t>CDMX/SOBSE/SI/DGCOP/</w:t>
        </w:r>
        <w:r w:rsidR="00F44ACC" w:rsidRPr="000C1DC1">
          <w:rPr>
            <w:rStyle w:val="Hipervnculo"/>
            <w:rFonts w:ascii="Source Sans Pro" w:hAnsi="Source Sans Pro"/>
            <w:sz w:val="12"/>
            <w:szCs w:val="12"/>
          </w:rPr>
          <w:t>15.02.21/002</w:t>
        </w:r>
      </w:hyperlink>
      <w:r w:rsidRPr="005C394B">
        <w:rPr>
          <w:rFonts w:ascii="Source Sans Pro" w:hAnsi="Source Sans Pro"/>
          <w:sz w:val="12"/>
          <w:szCs w:val="12"/>
        </w:rPr>
        <w:t xml:space="preserve">, de fecha </w:t>
      </w:r>
      <w:r w:rsidR="00F44ACC">
        <w:rPr>
          <w:rFonts w:ascii="Source Sans Pro" w:hAnsi="Source Sans Pro"/>
          <w:sz w:val="12"/>
          <w:szCs w:val="12"/>
        </w:rPr>
        <w:t>15/02/2021</w:t>
      </w:r>
      <w:r w:rsidRPr="005C394B">
        <w:rPr>
          <w:rFonts w:ascii="Source Sans Pro" w:hAnsi="Source Sans Pro"/>
          <w:sz w:val="12"/>
          <w:szCs w:val="12"/>
        </w:rPr>
        <w:t>.</w:t>
      </w:r>
    </w:p>
    <w:p w:rsidR="007F1AC2" w:rsidRPr="005C394B" w:rsidRDefault="007F1AC2" w:rsidP="007F1AC2">
      <w:pPr>
        <w:spacing w:after="0" w:line="240" w:lineRule="auto"/>
        <w:ind w:left="-426"/>
        <w:jc w:val="both"/>
        <w:rPr>
          <w:rFonts w:ascii="Source Sans Pro" w:hAnsi="Source Sans Pro"/>
          <w:sz w:val="12"/>
          <w:szCs w:val="12"/>
        </w:rPr>
      </w:pPr>
      <w:r w:rsidRPr="005C394B">
        <w:rPr>
          <w:rFonts w:ascii="Source Sans Pro" w:hAnsi="Source Sans Pro"/>
          <w:sz w:val="12"/>
          <w:szCs w:val="12"/>
        </w:rPr>
        <w:t xml:space="preserve">**De acuerdo al Acta de fallo </w:t>
      </w:r>
      <w:hyperlink r:id="rId15" w:history="1">
        <w:r w:rsidRPr="00D94CC9">
          <w:rPr>
            <w:rStyle w:val="Hipervnculo"/>
            <w:rFonts w:ascii="Source Sans Pro" w:hAnsi="Source Sans Pro"/>
            <w:sz w:val="12"/>
            <w:szCs w:val="12"/>
          </w:rPr>
          <w:t>LPN LO-909005989-E3-2020 (909005989-DGCOP-F-002-2020)</w:t>
        </w:r>
      </w:hyperlink>
      <w:r w:rsidRPr="005C394B">
        <w:rPr>
          <w:rFonts w:ascii="Source Sans Pro" w:hAnsi="Source Sans Pro"/>
          <w:sz w:val="12"/>
          <w:szCs w:val="12"/>
        </w:rPr>
        <w:t xml:space="preserve"> y </w:t>
      </w:r>
      <w:r w:rsidRPr="00D94CC9">
        <w:rPr>
          <w:rFonts w:ascii="Source Sans Pro" w:hAnsi="Source Sans Pro"/>
          <w:sz w:val="12"/>
          <w:szCs w:val="12"/>
        </w:rPr>
        <w:t xml:space="preserve">Contrato de Obra Pública. </w:t>
      </w:r>
      <w:hyperlink r:id="rId16" w:history="1">
        <w:r w:rsidRPr="00D94CC9">
          <w:rPr>
            <w:rStyle w:val="Hipervnculo"/>
            <w:rFonts w:ascii="Source Sans Pro" w:hAnsi="Source Sans Pro"/>
            <w:sz w:val="12"/>
            <w:szCs w:val="12"/>
          </w:rPr>
          <w:t>NO. DGCOP-LPN-F-4-202-20.</w:t>
        </w:r>
      </w:hyperlink>
    </w:p>
    <w:p w:rsidR="005C394B" w:rsidRPr="005C394B" w:rsidRDefault="007F1AC2" w:rsidP="007F1AC2">
      <w:pPr>
        <w:spacing w:after="0" w:line="240" w:lineRule="auto"/>
        <w:ind w:left="-426"/>
        <w:jc w:val="both"/>
        <w:rPr>
          <w:rFonts w:ascii="Source Sans Pro" w:hAnsi="Source Sans Pro"/>
          <w:sz w:val="12"/>
          <w:szCs w:val="12"/>
        </w:rPr>
      </w:pPr>
      <w:r w:rsidRPr="005C394B">
        <w:rPr>
          <w:rFonts w:ascii="Source Sans Pro" w:hAnsi="Source Sans Pro"/>
          <w:sz w:val="12"/>
          <w:szCs w:val="12"/>
        </w:rPr>
        <w:t>***Economías correspondiente</w:t>
      </w:r>
      <w:r>
        <w:rPr>
          <w:rFonts w:ascii="Source Sans Pro" w:hAnsi="Source Sans Pro"/>
          <w:sz w:val="12"/>
          <w:szCs w:val="12"/>
        </w:rPr>
        <w:t>s</w:t>
      </w:r>
      <w:r w:rsidRPr="005C394B">
        <w:rPr>
          <w:rFonts w:ascii="Source Sans Pro" w:hAnsi="Source Sans Pro"/>
          <w:sz w:val="12"/>
          <w:szCs w:val="12"/>
        </w:rPr>
        <w:t xml:space="preserve"> (diferencia entre los Recursos Transferidos y el Monto Comprometido). De conformidad con lo establecido en el numeral 12 de los Lineamientos del Fondo, la aplicación de los recursos se sujetará a las disposiciones previstas en el artículo 17 de la Ley de Disciplina Financiera de las Entidades Federativas y los Municipios por lo que los recursos no comprometidos al 31 de diciembre, así como los rendimientos generados serán reintegrados a la TESOFE</w:t>
      </w:r>
    </w:p>
    <w:sectPr w:rsidR="005C394B" w:rsidRPr="005C394B" w:rsidSect="005C394B">
      <w:pgSz w:w="20160" w:h="12240" w:orient="landscape" w:code="5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4FFF"/>
    <w:multiLevelType w:val="hybridMultilevel"/>
    <w:tmpl w:val="AEAC7688"/>
    <w:lvl w:ilvl="0" w:tplc="B4F4AA66">
      <w:start w:val="5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F1"/>
    <w:rsid w:val="00072825"/>
    <w:rsid w:val="000A7C59"/>
    <w:rsid w:val="000C1DC1"/>
    <w:rsid w:val="000F3313"/>
    <w:rsid w:val="00133607"/>
    <w:rsid w:val="0014711C"/>
    <w:rsid w:val="00184CCB"/>
    <w:rsid w:val="001A15BB"/>
    <w:rsid w:val="001B6D37"/>
    <w:rsid w:val="001D2213"/>
    <w:rsid w:val="002702AB"/>
    <w:rsid w:val="00287AA6"/>
    <w:rsid w:val="0029329C"/>
    <w:rsid w:val="002D4CE0"/>
    <w:rsid w:val="0030188E"/>
    <w:rsid w:val="003513B3"/>
    <w:rsid w:val="00392EFE"/>
    <w:rsid w:val="003A31BC"/>
    <w:rsid w:val="004366B9"/>
    <w:rsid w:val="004D3F43"/>
    <w:rsid w:val="004F2CCE"/>
    <w:rsid w:val="005571EF"/>
    <w:rsid w:val="0058049F"/>
    <w:rsid w:val="005875F1"/>
    <w:rsid w:val="005B590E"/>
    <w:rsid w:val="005C394B"/>
    <w:rsid w:val="005D63E6"/>
    <w:rsid w:val="00665290"/>
    <w:rsid w:val="00670DF4"/>
    <w:rsid w:val="006B25E9"/>
    <w:rsid w:val="007B3064"/>
    <w:rsid w:val="007B77AF"/>
    <w:rsid w:val="007F1AC2"/>
    <w:rsid w:val="00824E11"/>
    <w:rsid w:val="00916749"/>
    <w:rsid w:val="00934BB6"/>
    <w:rsid w:val="00960261"/>
    <w:rsid w:val="00A04F7F"/>
    <w:rsid w:val="00A42395"/>
    <w:rsid w:val="00AB79BE"/>
    <w:rsid w:val="00B01B7F"/>
    <w:rsid w:val="00B047C9"/>
    <w:rsid w:val="00B329D8"/>
    <w:rsid w:val="00B94E2E"/>
    <w:rsid w:val="00C409A1"/>
    <w:rsid w:val="00CA34BF"/>
    <w:rsid w:val="00D45EE6"/>
    <w:rsid w:val="00D94CC9"/>
    <w:rsid w:val="00E26532"/>
    <w:rsid w:val="00E83633"/>
    <w:rsid w:val="00E9121B"/>
    <w:rsid w:val="00E94636"/>
    <w:rsid w:val="00E9463D"/>
    <w:rsid w:val="00EB16BB"/>
    <w:rsid w:val="00F14834"/>
    <w:rsid w:val="00F44ACC"/>
    <w:rsid w:val="00F668BE"/>
    <w:rsid w:val="00F73416"/>
    <w:rsid w:val="00F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544B"/>
  <w15:docId w15:val="{528EB85A-9D17-4A75-A6A1-1F7BF40E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4F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79B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42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ovi.cdmx.gob.mx/storage/app/media/FOTRADIS%20203010/010-alvaro-obregon.pdf" TargetMode="External"/><Relationship Id="rId13" Type="http://schemas.openxmlformats.org/officeDocument/2006/relationships/hyperlink" Target="https://semovi.cdmx.gob.mx/storage/app/media/10-contrato-de-obra-public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movi.cdmx.gob.mx/storage/app/media/FOTRADIS%20203010/005-gustavo-a-madero.pdf" TargetMode="External"/><Relationship Id="rId12" Type="http://schemas.openxmlformats.org/officeDocument/2006/relationships/hyperlink" Target="https://semovi.cdmx.gob.mx/storage/app/media/8-acta-del-fallo-de-procedimiento-de-licitacion-publica-nacional-lo-909005989-e3-20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movi.cdmx.gob.mx/storage/app/media/10-contrato-de-obra-public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movi.cdmx.gob.mx/storage/app/media/FOTRADIS%20203010/003-coyoacan.pdf" TargetMode="External"/><Relationship Id="rId11" Type="http://schemas.openxmlformats.org/officeDocument/2006/relationships/hyperlink" Target="http://asch.com.mx/" TargetMode="External"/><Relationship Id="rId5" Type="http://schemas.openxmlformats.org/officeDocument/2006/relationships/hyperlink" Target="https://semovi.cdmx.gob.mx/tramites-y-servicios/transparencia/fotradis-2020" TargetMode="External"/><Relationship Id="rId15" Type="http://schemas.openxmlformats.org/officeDocument/2006/relationships/hyperlink" Target="https://semovi.cdmx.gob.mx/storage/app/media/8-acta-del-fallo-de-procedimiento-de-licitacion-publica-nacional-lo-909005989-e3-2020.pdf" TargetMode="External"/><Relationship Id="rId10" Type="http://schemas.openxmlformats.org/officeDocument/2006/relationships/hyperlink" Target="https://semovi.cdmx.gob.mx/storage/app/media/FOTRADIS%20203010/015-cuauhtemo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movi.cdmx.gob.mx/storage/app/media/FOTRADIS%20203010/012-tlalpan.pdf" TargetMode="External"/><Relationship Id="rId14" Type="http://schemas.openxmlformats.org/officeDocument/2006/relationships/hyperlink" Target="https://drive.google.com/file/d/19_Oi9xqB5jiKr3_NIZ4JcFz4SuoBmnCw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DGSPAEM</dc:creator>
  <cp:lastModifiedBy>DGSPAEM</cp:lastModifiedBy>
  <cp:revision>3</cp:revision>
  <cp:lastPrinted>2021-02-22T18:57:00Z</cp:lastPrinted>
  <dcterms:created xsi:type="dcterms:W3CDTF">2021-02-22T18:58:00Z</dcterms:created>
  <dcterms:modified xsi:type="dcterms:W3CDTF">2021-02-22T18:59:00Z</dcterms:modified>
</cp:coreProperties>
</file>